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Внутриуниверситетская академическая мобильность</w:t>
      </w:r>
    </w:p>
    <w:p>
      <w:pPr>
        <w:autoSpaceDN w:val="0"/>
        <w:autoSpaceDE w:val="0"/>
        <w:widowControl/>
        <w:spacing w:line="259" w:lineRule="auto" w:before="378" w:after="0"/>
        <w:ind w:left="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Внутриуниверситетская мобильность — это обучение студента по очной форме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 в другом кампусе НИУ ВШЭ.</w:t>
      </w:r>
    </w:p>
    <w:p>
      <w:pPr>
        <w:autoSpaceDN w:val="0"/>
        <w:autoSpaceDE w:val="0"/>
        <w:widowControl/>
        <w:spacing w:line="240" w:lineRule="auto" w:before="33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Условия участия</w:t>
      </w:r>
    </w:p>
    <w:p>
      <w:pPr>
        <w:autoSpaceDN w:val="0"/>
        <w:autoSpaceDE w:val="0"/>
        <w:widowControl/>
        <w:spacing w:line="240" w:lineRule="auto" w:before="216" w:after="14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участия во внутренней академической мобильности Вам необходимо подать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408"/>
        </w:trPr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личное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1132840</wp:posOffset>
                  </wp:positionH>
                  <wp:positionV relativeFrom="page">
                    <wp:posOffset>4086860</wp:posOffset>
                  </wp:positionV>
                  <wp:extent cx="190500" cy="170179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017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0" w:firstLine="0"/>
              <w:jc w:val="center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заявление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на имя академического руководителя базовой образовательной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(ОП).</w:t>
      </w:r>
    </w:p>
    <w:p>
      <w:pPr>
        <w:autoSpaceDN w:val="0"/>
        <w:autoSpaceDE w:val="0"/>
        <w:widowControl/>
        <w:spacing w:line="271" w:lineRule="auto" w:before="260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Решение о возможности участия студента во внутриуниверситетской академической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мобильности принимает академический руководитель базовой ОП на основании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личного заявления студента, проекта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индивидуального учебного плана (ИУП)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согласованию с академическим руководителем принимающей ОП, на которой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планирует получить часть образовательных услуг.</w:t>
      </w:r>
    </w:p>
    <w:p>
      <w:pPr>
        <w:autoSpaceDN w:val="0"/>
        <w:autoSpaceDE w:val="0"/>
        <w:widowControl/>
        <w:spacing w:line="240" w:lineRule="auto" w:before="34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Место в общежитии</w:t>
      </w:r>
    </w:p>
    <w:p>
      <w:pPr>
        <w:autoSpaceDN w:val="0"/>
        <w:autoSpaceDE w:val="0"/>
        <w:widowControl/>
        <w:spacing w:line="264" w:lineRule="auto" w:before="214" w:after="0"/>
        <w:ind w:left="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Студенту, принимающему участие во внутриуниверситетской академической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мобильности, предоставляется место в общежитии по месту получения части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услуг при наличии свободных мест.</w:t>
      </w:r>
    </w:p>
    <w:p>
      <w:pPr>
        <w:autoSpaceDN w:val="0"/>
        <w:autoSpaceDE w:val="0"/>
        <w:widowControl/>
        <w:spacing w:line="240" w:lineRule="auto" w:before="33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Оплата образовательных услуг и прочих расходов</w:t>
      </w:r>
    </w:p>
    <w:p>
      <w:pPr>
        <w:autoSpaceDN w:val="0"/>
        <w:autoSpaceDE w:val="0"/>
        <w:widowControl/>
        <w:spacing w:line="264" w:lineRule="auto" w:before="216" w:after="0"/>
        <w:ind w:left="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Расходы студента, понесенные им в связи с участием во внутриуниверситетской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академической мобильности,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не компенсируются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6" w:lineRule="auto" w:before="50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Студент, принимающий участие во внутриуниверситетской академической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мобильности и обучающийся на договорной основе, оплачивает образовательные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услуги на основном факультете.</w:t>
      </w:r>
    </w:p>
    <w:p>
      <w:pPr>
        <w:autoSpaceDN w:val="0"/>
        <w:autoSpaceDE w:val="0"/>
        <w:widowControl/>
        <w:spacing w:line="245" w:lineRule="auto" w:before="564" w:after="0"/>
        <w:ind w:left="0" w:right="172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Инструкция по внутрикампусной мобильности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2025/2026 учебный год 3-4 модули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1066800</wp:posOffset>
            </wp:positionV>
            <wp:extent cx="939800" cy="2667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266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62" w:after="11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Москва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3607"/>
        <w:gridCol w:w="3607"/>
        <w:gridCol w:w="3607"/>
      </w:tblGrid>
      <w:tr>
        <w:trPr>
          <w:trHeight w:hRule="exact" w:val="6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Общежитие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1524000</wp:posOffset>
                  </wp:positionH>
                  <wp:positionV relativeFrom="page">
                    <wp:posOffset>980440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214" w:firstLine="0"/>
              <w:jc w:val="righ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7AC5"/>
                <w:sz w:val="22"/>
              </w:rPr>
              <w:t>свернуть все</w:t>
            </w:r>
          </w:p>
        </w:tc>
      </w:tr>
    </w:tbl>
    <w:p>
      <w:pPr>
        <w:autoSpaceDN w:val="0"/>
        <w:autoSpaceDE w:val="0"/>
        <w:widowControl/>
        <w:spacing w:line="240" w:lineRule="auto" w:before="30" w:after="12"/>
        <w:ind w:left="300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t>Миграционный учёт (только для студентов-граждан иностранных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1803"/>
        <w:gridCol w:w="1803"/>
        <w:gridCol w:w="1803"/>
        <w:gridCol w:w="1803"/>
        <w:gridCol w:w="1803"/>
        <w:gridCol w:w="1803"/>
      </w:tblGrid>
      <w:tr>
        <w:trPr>
          <w:trHeight w:hRule="exact" w:val="450"/>
        </w:trPr>
        <w:tc>
          <w:tcPr>
            <w:tcW w:type="dxa" w:w="1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государств) </w:t>
            </w:r>
          </w:p>
        </w:tc>
        <w:tc>
          <w:tcPr>
            <w:tcW w:type="dxa" w:w="50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1466850</wp:posOffset>
                  </wp:positionH>
                  <wp:positionV relativeFrom="page">
                    <wp:posOffset>1572260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4658360</wp:posOffset>
                  </wp:positionH>
                  <wp:positionV relativeFrom="page">
                    <wp:posOffset>2639060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0"/>
        </w:trPr>
        <w:tc>
          <w:tcPr>
            <w:tcW w:type="dxa" w:w="37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Медицинское обслуживание 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2829560</wp:posOffset>
                  </wp:positionH>
                  <wp:positionV relativeFrom="page">
                    <wp:posOffset>1924050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803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29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Электронный пропуск </w:t>
            </w:r>
          </w:p>
        </w:tc>
        <w:tc>
          <w:tcPr>
            <w:tcW w:type="dxa" w:w="3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2305050</wp:posOffset>
                  </wp:positionH>
                  <wp:positionV relativeFrom="page">
                    <wp:posOffset>2275840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803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66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Карта москвича для студента/ординатора/аспиранта </w:t>
            </w:r>
          </w:p>
        </w:tc>
        <w:tc>
          <w:tcPr>
            <w:tcW w:type="dxa" w:w="1803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Навигация </w:t>
            </w:r>
          </w:p>
        </w:tc>
        <w:tc>
          <w:tcPr>
            <w:tcW w:type="dxa" w:w="51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1419860</wp:posOffset>
                  </wp:positionH>
                  <wp:positionV relativeFrom="page">
                    <wp:posOffset>2990850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8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788" w:after="126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Санкт-Петербург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1546"/>
        <w:gridCol w:w="1546"/>
        <w:gridCol w:w="1546"/>
        <w:gridCol w:w="1546"/>
        <w:gridCol w:w="1546"/>
        <w:gridCol w:w="1546"/>
        <w:gridCol w:w="1546"/>
      </w:tblGrid>
      <w:tr>
        <w:trPr>
          <w:trHeight w:hRule="exact" w:val="510"/>
        </w:trPr>
        <w:tc>
          <w:tcPr>
            <w:tcW w:type="dxa" w:w="1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Общежитие </w:t>
            </w:r>
          </w:p>
        </w:tc>
        <w:tc>
          <w:tcPr>
            <w:tcW w:type="dxa" w:w="67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1524000</wp:posOffset>
                  </wp:positionH>
                  <wp:positionV relativeFrom="page">
                    <wp:posOffset>4180840</wp:posOffset>
                  </wp:positionV>
                  <wp:extent cx="190500" cy="1905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74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5829300</wp:posOffset>
                  </wp:positionH>
                  <wp:positionV relativeFrom="page">
                    <wp:posOffset>5247640</wp:posOffset>
                  </wp:positionV>
                  <wp:extent cx="190500" cy="1905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60"/>
        </w:trPr>
        <w:tc>
          <w:tcPr>
            <w:tcW w:type="dxa" w:w="37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Медицинское обслуживание </w:t>
            </w:r>
          </w:p>
        </w:tc>
        <w:tc>
          <w:tcPr>
            <w:tcW w:type="dxa" w:w="4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2829560</wp:posOffset>
                  </wp:positionH>
                  <wp:positionV relativeFrom="page">
                    <wp:posOffset>4544060</wp:posOffset>
                  </wp:positionV>
                  <wp:extent cx="190500" cy="1905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546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29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>Электронный</w:t>
            </w: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пропуск </w:t>
            </w:r>
          </w:p>
        </w:tc>
        <w:tc>
          <w:tcPr>
            <w:tcW w:type="dxa" w:w="55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2305050</wp:posOffset>
                  </wp:positionH>
                  <wp:positionV relativeFrom="page">
                    <wp:posOffset>4895850</wp:posOffset>
                  </wp:positionV>
                  <wp:extent cx="190500" cy="1905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546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846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>Карта БСК для студента (единый студенческий проездной на</w:t>
            </w:r>
            <w:r>
              <w:rPr>
                <w:u w:val="single" w:color="0079c4"/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 </w:t>
            </w: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месяц) </w:t>
            </w:r>
          </w:p>
        </w:tc>
        <w:tc>
          <w:tcPr>
            <w:tcW w:type="dxa" w:w="1546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Навигация </w:t>
            </w:r>
          </w:p>
        </w:tc>
        <w:tc>
          <w:tcPr>
            <w:tcW w:type="dxa" w:w="694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1419860</wp:posOffset>
                  </wp:positionH>
                  <wp:positionV relativeFrom="page">
                    <wp:posOffset>5610860</wp:posOffset>
                  </wp:positionV>
                  <wp:extent cx="190500" cy="1905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546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71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156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7AC5"/>
                <w:sz w:val="26"/>
              </w:rPr>
              <w:t xml:space="preserve">Миграционный учет (только для иностранных студентов) 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5010150</wp:posOffset>
                  </wp:positionH>
                  <wp:positionV relativeFrom="page">
                    <wp:posOffset>5962650</wp:posOffset>
                  </wp:positionV>
                  <wp:extent cx="190500" cy="1905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5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5" w:lineRule="auto" w:before="804" w:after="0"/>
        <w:ind w:left="300" w:right="201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Положение об академической мобильности студентов Национального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исследовательского университета «Высшая 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119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8382000</wp:posOffset>
            </wp:positionV>
            <wp:extent cx="508000" cy="2413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8763000</wp:posOffset>
            </wp:positionV>
            <wp:extent cx="1346200" cy="317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9268460</wp:posOffset>
            </wp:positionV>
            <wp:extent cx="228600" cy="2286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360" w:lineRule="auto" w:before="137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92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Академическое развитие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734060</wp:posOffset>
            </wp:positionV>
            <wp:extent cx="6877050" cy="45698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648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9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ww.hse.ru/mirror/pubs/share/492873958.doc" TargetMode="External"/><Relationship Id="rId13" Type="http://schemas.openxmlformats.org/officeDocument/2006/relationships/hyperlink" Target="https://www.hse.ru/studyspravka/plan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www.hse.ru/docs/480101460.html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hyperlink" Target="https://www.hse.ru/org/hse/info/" TargetMode="External"/><Relationship Id="rId22" Type="http://schemas.openxmlformats.org/officeDocument/2006/relationships/hyperlink" Target="https://figures.hse.ru/" TargetMode="External"/><Relationship Id="rId23" Type="http://schemas.openxmlformats.org/officeDocument/2006/relationships/hyperlink" Target="https://www.hse.ru/orgstructure/" TargetMode="External"/><Relationship Id="rId24" Type="http://schemas.openxmlformats.org/officeDocument/2006/relationships/hyperlink" Target="https://sustainability.hse.ru/" TargetMode="External"/><Relationship Id="rId25" Type="http://schemas.openxmlformats.org/officeDocument/2006/relationships/hyperlink" Target="https://www.hse.ru/org/persons/" TargetMode="External"/><Relationship Id="rId26" Type="http://schemas.openxmlformats.org/officeDocument/2006/relationships/hyperlink" Target="https://www.hse.ru/buildinghse" TargetMode="External"/><Relationship Id="rId27" Type="http://schemas.openxmlformats.org/officeDocument/2006/relationships/hyperlink" Target="https://www.hse.ru/org/hse/aup/procurement/" TargetMode="External"/><Relationship Id="rId28" Type="http://schemas.openxmlformats.org/officeDocument/2006/relationships/hyperlink" Target="https://www.hse.ru/appeal/" TargetMode="External"/><Relationship Id="rId29" Type="http://schemas.openxmlformats.org/officeDocument/2006/relationships/hyperlink" Target="https://endowment.hse.ru/" TargetMode="External"/><Relationship Id="rId30" Type="http://schemas.openxmlformats.org/officeDocument/2006/relationships/hyperlink" Target="https://www.hse.ru/anticorruption" TargetMode="External"/><Relationship Id="rId31" Type="http://schemas.openxmlformats.org/officeDocument/2006/relationships/hyperlink" Target="https://www.hse.ru/anticorruption/information" TargetMode="External"/><Relationship Id="rId32" Type="http://schemas.openxmlformats.org/officeDocument/2006/relationships/hyperlink" Target="https://www.hse.ru/sveden/" TargetMode="External"/><Relationship Id="rId33" Type="http://schemas.openxmlformats.org/officeDocument/2006/relationships/hyperlink" Target="https://inclusive.hse.ru/" TargetMode="External"/><Relationship Id="rId34" Type="http://schemas.openxmlformats.org/officeDocument/2006/relationships/hyperlink" Target="https://pay.hse.ru/" TargetMode="External"/><Relationship Id="rId35" Type="http://schemas.openxmlformats.org/officeDocument/2006/relationships/hyperlink" Target="https://www.hse.ru/career" TargetMode="External"/><Relationship Id="rId36" Type="http://schemas.openxmlformats.org/officeDocument/2006/relationships/hyperlink" Target="https://www.hse.ru/education/" TargetMode="External"/><Relationship Id="rId37" Type="http://schemas.openxmlformats.org/officeDocument/2006/relationships/hyperlink" Target="https://school.hse.ru/" TargetMode="External"/><Relationship Id="rId38" Type="http://schemas.openxmlformats.org/officeDocument/2006/relationships/hyperlink" Target="https://fdp.hse.ru/" TargetMode="External"/><Relationship Id="rId39" Type="http://schemas.openxmlformats.org/officeDocument/2006/relationships/hyperlink" Target="https://olymp.hse.ru/" TargetMode="External"/><Relationship Id="rId40" Type="http://schemas.openxmlformats.org/officeDocument/2006/relationships/hyperlink" Target="https://ba.hse.ru/" TargetMode="External"/><Relationship Id="rId41" Type="http://schemas.openxmlformats.org/officeDocument/2006/relationships/hyperlink" Target="https://www.hse.ru/plus" TargetMode="External"/><Relationship Id="rId42" Type="http://schemas.openxmlformats.org/officeDocument/2006/relationships/hyperlink" Target="https://ma.hse.ru/" TargetMode="External"/><Relationship Id="rId43" Type="http://schemas.openxmlformats.org/officeDocument/2006/relationships/hyperlink" Target="https://aspirantura.hse.ru/" TargetMode="External"/><Relationship Id="rId44" Type="http://schemas.openxmlformats.org/officeDocument/2006/relationships/hyperlink" Target="https://busedu.hse.ru/" TargetMode="External"/><Relationship Id="rId45" Type="http://schemas.openxmlformats.org/officeDocument/2006/relationships/hyperlink" Target="https://career.hse.ru/" TargetMode="External"/><Relationship Id="rId46" Type="http://schemas.openxmlformats.org/officeDocument/2006/relationships/hyperlink" Target="http://inc.hse.ru/" TargetMode="External"/><Relationship Id="rId47" Type="http://schemas.openxmlformats.org/officeDocument/2006/relationships/hyperlink" Target="https://dd.hse.ru/" TargetMode="External"/><Relationship Id="rId48" Type="http://schemas.openxmlformats.org/officeDocument/2006/relationships/hyperlink" Target="https://www.hse.ru/feedback" TargetMode="External"/><Relationship Id="rId49" Type="http://schemas.openxmlformats.org/officeDocument/2006/relationships/hyperlink" Target="https://www.hse.ru/science/" TargetMode="External"/><Relationship Id="rId50" Type="http://schemas.openxmlformats.org/officeDocument/2006/relationships/hyperlink" Target="https://www.hse.ru/science/centers" TargetMode="External"/><Relationship Id="rId51" Type="http://schemas.openxmlformats.org/officeDocument/2006/relationships/hyperlink" Target="https://www.hse.ru/org/projects/" TargetMode="External"/><Relationship Id="rId52" Type="http://schemas.openxmlformats.org/officeDocument/2006/relationships/hyperlink" Target="https://www.hse.ru/monitoring/" TargetMode="External"/><Relationship Id="rId53" Type="http://schemas.openxmlformats.org/officeDocument/2006/relationships/hyperlink" Target="https://www.hse.ru/science/disscoun/" TargetMode="External"/><Relationship Id="rId54" Type="http://schemas.openxmlformats.org/officeDocument/2006/relationships/hyperlink" Target="https://aspirantura.hse.ru/defence/announcements/" TargetMode="External"/><Relationship Id="rId55" Type="http://schemas.openxmlformats.org/officeDocument/2006/relationships/hyperlink" Target="https://academics.hse.ru/" TargetMode="External"/><Relationship Id="rId56" Type="http://schemas.openxmlformats.org/officeDocument/2006/relationships/hyperlink" Target="https://www.hse.ru/science/hsegrants" TargetMode="External"/><Relationship Id="rId57" Type="http://schemas.openxmlformats.org/officeDocument/2006/relationships/hyperlink" Target="https://sezam.hse.ru/" TargetMode="External"/><Relationship Id="rId58" Type="http://schemas.openxmlformats.org/officeDocument/2006/relationships/hyperlink" Target="https://publications.hse.ru/" TargetMode="External"/><Relationship Id="rId59" Type="http://schemas.openxmlformats.org/officeDocument/2006/relationships/hyperlink" Target="https://library.hse.ru/" TargetMode="External"/><Relationship Id="rId60" Type="http://schemas.openxmlformats.org/officeDocument/2006/relationships/hyperlink" Target="https://id.hse.ru/" TargetMode="External"/><Relationship Id="rId61" Type="http://schemas.openxmlformats.org/officeDocument/2006/relationships/hyperlink" Target="https://bookshop.hse.ru/" TargetMode="External"/><Relationship Id="rId62" Type="http://schemas.openxmlformats.org/officeDocument/2006/relationships/hyperlink" Target="https://print.hse.ru/" TargetMode="External"/><Relationship Id="rId63" Type="http://schemas.openxmlformats.org/officeDocument/2006/relationships/hyperlink" Target="https://mc.hse.ru/" TargetMode="External"/><Relationship Id="rId64" Type="http://schemas.openxmlformats.org/officeDocument/2006/relationships/hyperlink" Target="https://www.hse.ru/science/journals" TargetMode="External"/><Relationship Id="rId65" Type="http://schemas.openxmlformats.org/officeDocument/2006/relationships/hyperlink" Target="http://www.minobrnauki.gov.ru/" TargetMode="External"/><Relationship Id="rId66" Type="http://schemas.openxmlformats.org/officeDocument/2006/relationships/hyperlink" Target="https://edu.gov.ru/" TargetMode="External"/><Relationship Id="rId67" Type="http://schemas.openxmlformats.org/officeDocument/2006/relationships/hyperlink" Target="http://www.edu.ru/" TargetMode="External"/><Relationship Id="rId68" Type="http://schemas.openxmlformats.org/officeDocument/2006/relationships/hyperlink" Target="https://elearning.hse.ru/mooc" TargetMode="External"/><Relationship Id="rId69" Type="http://schemas.openxmlformats.org/officeDocument/2006/relationships/hyperlink" Target="https://www.hse.ru/adm/edit/edit.html?goto=%2AL3N0dWR5c3ByYXZrYS92bnV0cm1vYj9fcj0zNjI0MjI3MTc3NTA4MjUyOS41OTUzOA%3D%3D%5E&amp;id=142368914&amp;cid=20594&amp;addon_name=default&amp;newportal=1" TargetMode="External"/><Relationship Id="rId70" Type="http://schemas.openxmlformats.org/officeDocument/2006/relationships/hyperlink" Target="https://www.hse.ru/contacts.html" TargetMode="External"/><Relationship Id="rId71" Type="http://schemas.openxmlformats.org/officeDocument/2006/relationships/hyperlink" Target="https://www.hse.ru/copyright" TargetMode="External"/><Relationship Id="rId72" Type="http://schemas.openxmlformats.org/officeDocument/2006/relationships/hyperlink" Target="https://www.hse.ru/data_protection_regulation" TargetMode="External"/><Relationship Id="rId73" Type="http://schemas.openxmlformats.org/officeDocument/2006/relationships/hyperlink" Target="https://www.hse.ru/sitemap.html" TargetMode="External"/><Relationship Id="rId74" Type="http://schemas.openxmlformats.org/officeDocument/2006/relationships/hyperlink" Target="https://design.hse.ru/" TargetMode="External"/><Relationship Id="rId7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