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2059939</wp:posOffset>
            </wp:positionV>
            <wp:extent cx="6485890" cy="711765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71176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158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Восстановление студентов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Навигация страницы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0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Как восстановиться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1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Сроки восстановления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7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Ограничения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1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Восстановление с последующим переводом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Решение о восстановлении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8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Процедура оформления документов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Документы</w:t>
            </w:r>
          </w:p>
        </w:tc>
      </w:tr>
    </w:tbl>
    <w:p>
      <w:pPr>
        <w:autoSpaceDN w:val="0"/>
        <w:autoSpaceDE w:val="0"/>
        <w:widowControl/>
        <w:spacing w:line="8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0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Индивидуальный учебный план (ИУП)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1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Академический отпуск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6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Выход из академического отпуска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6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Повторное изучение дисциплин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9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Оплата обучения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Отчисление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8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Отчисленный студент может восстановиться на обучение в НИУ ВШЭ в пределах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5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(пяти) лет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со дня отчисления из университета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независимо от основания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прекращения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образовательных отношений согласно условиям, описанным в данном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разделе. </w:t>
      </w:r>
    </w:p>
    <w:p>
      <w:pPr>
        <w:autoSpaceDN w:val="0"/>
        <w:autoSpaceDE w:val="0"/>
        <w:widowControl/>
        <w:spacing w:line="240" w:lineRule="auto" w:before="56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Процедура восстановления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4" w:right="187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Для начала процедуры восстановления требуется подача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электронного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заявления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через Единый личный кабинет (ЕЛК) в установленный период.</w:t>
      </w:r>
    </w:p>
    <w:p>
      <w:pPr>
        <w:autoSpaceDN w:val="0"/>
        <w:autoSpaceDE w:val="0"/>
        <w:widowControl/>
        <w:spacing w:line="264" w:lineRule="auto" w:before="262" w:after="0"/>
        <w:ind w:left="304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Контакты менеджера Вашей образовательной программы доступны на сайте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программы.</w:t>
      </w:r>
    </w:p>
    <w:p>
      <w:pPr>
        <w:autoSpaceDN w:val="0"/>
        <w:autoSpaceDE w:val="0"/>
        <w:widowControl/>
        <w:spacing w:line="240" w:lineRule="auto" w:before="688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Сроки восстановления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0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6" w:after="0"/>
              <w:ind w:left="458" w:right="100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Студенты, не завершившие освоение</w:t>
            </w:r>
            <w:r>
              <w:br/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образовательной программы в полном объеме</w:t>
            </w:r>
          </w:p>
        </w:tc>
      </w:tr>
    </w:tbl>
    <w:p>
      <w:pPr>
        <w:autoSpaceDN w:val="0"/>
        <w:autoSpaceDE w:val="0"/>
        <w:widowControl/>
        <w:spacing w:line="259" w:lineRule="auto" w:before="146" w:after="34"/>
        <w:ind w:left="828" w:right="864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Подать заявление о восстановлении на обучение в НИУ ВШЭ для студентов,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не завершивших освоение ОП в полном объеме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возможно в пределах 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5-ти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3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лет со дня отчисления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но не ранее:</w:t>
            </w:r>
          </w:p>
        </w:tc>
      </w:tr>
    </w:tbl>
    <w:p>
      <w:pPr>
        <w:autoSpaceDN w:val="0"/>
        <w:autoSpaceDE w:val="0"/>
        <w:widowControl/>
        <w:spacing w:line="5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597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36.0000000000001" w:type="dxa"/>
            </w:tblPr>
            <w:tblGrid>
              <w:gridCol w:w="5402"/>
              <w:gridCol w:w="5402"/>
            </w:tblGrid>
            <w:tr>
              <w:trPr>
                <w:trHeight w:hRule="exact" w:val="660"/>
              </w:trPr>
              <w:tc>
                <w:tcPr>
                  <w:tcW w:type="dxa" w:w="3734"/>
                  <w:tcBorders>
                    <w:start w:sz="6.399999999999977" w:val="single" w:color="#000000"/>
                    <w:top w:sz="6.400000000000091" w:val="single" w:color="#000000"/>
                    <w:end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4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Сроки</w:t>
                  </w:r>
                </w:p>
              </w:tc>
              <w:tc>
                <w:tcPr>
                  <w:tcW w:type="dxa" w:w="5400"/>
                  <w:tcBorders>
                    <w:start w:sz="5.599999999999909" w:val="single" w:color="#000000"/>
                    <w:top w:sz="6.400000000000091" w:val="single" w:color="#000000"/>
                    <w:end w:sz="5.600000000000364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4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Причина отчисления</w:t>
                  </w:r>
                </w:p>
              </w:tc>
            </w:tr>
            <w:tr>
              <w:trPr>
                <w:trHeight w:hRule="exact" w:val="1860"/>
              </w:trPr>
              <w:tc>
                <w:tcPr>
                  <w:tcW w:type="dxa" w:w="3734"/>
                  <w:tcBorders>
                    <w:start w:sz="6.399999999999977" w:val="single" w:color="#000000"/>
                    <w:top w:sz="6.400000000000091" w:val="single" w:color="#000000"/>
                    <w:end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96" w:after="0"/>
                    <w:ind w:left="126" w:right="0" w:firstLine="0"/>
                    <w:jc w:val="left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Начала учебного модуля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 xml:space="preserve">, </w:t>
                  </w:r>
                  <w:r>
                    <w:rPr>
                      <w:w w:val="98.52272380482067"/>
                      <w:rFonts w:ascii="Segoe UI" w:hAnsi="Segoe UI" w:eastAsia="Segoe UI"/>
                      <w:b w:val="0"/>
                      <w:i w:val="0"/>
                      <w:color w:val="000000"/>
                      <w:sz w:val="22"/>
                    </w:rPr>
                    <w:t>*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126" w:right="0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следующего за истечением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126" w:right="0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одного календарного года с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6" w:after="0"/>
                    <w:ind w:left="126" w:right="0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даты отчисления студента</w:t>
                  </w:r>
                </w:p>
              </w:tc>
              <w:tc>
                <w:tcPr>
                  <w:tcW w:type="dxa" w:w="5400"/>
                  <w:tcBorders>
                    <w:start w:sz="5.599999999999909" w:val="single" w:color="#000000"/>
                    <w:top w:sz="6.400000000000091" w:val="single" w:color="#000000"/>
                    <w:end w:sz="5.600000000000364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354" w:after="0"/>
                    <w:ind w:left="120" w:right="720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при отчислении в дисциплинарном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порядке за нарушение ПВРО, Правил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общежития НИУ ВШЭ</w:t>
                  </w:r>
                </w:p>
              </w:tc>
            </w:tr>
            <w:tr>
              <w:trPr>
                <w:trHeight w:hRule="exact" w:val="1066"/>
              </w:trPr>
              <w:tc>
                <w:tcPr>
                  <w:tcW w:type="dxa" w:w="3734"/>
                  <w:tcBorders>
                    <w:start w:sz="6.399999999999977" w:val="single" w:color="#000000"/>
                    <w:top w:sz="6.400000000000091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160" w:after="0"/>
                    <w:ind w:left="126" w:right="1152" w:firstLine="0"/>
                    <w:jc w:val="left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Начала следующего</w:t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учебного года</w:t>
                  </w:r>
                  <w:r>
                    <w:rPr>
                      <w:w w:val="98.52272380482067"/>
                      <w:rFonts w:ascii="Segoe UI" w:hAnsi="Segoe UI" w:eastAsia="Segoe UI"/>
                      <w:b w:val="0"/>
                      <w:i w:val="0"/>
                      <w:color w:val="000000"/>
                      <w:sz w:val="22"/>
                    </w:rPr>
                    <w:t>*</w:t>
                  </w:r>
                </w:p>
              </w:tc>
              <w:tc>
                <w:tcPr>
                  <w:tcW w:type="dxa" w:w="5400"/>
                  <w:tcBorders>
                    <w:start w:sz="5.599999999999909" w:val="single" w:color="#000000"/>
                    <w:top w:sz="6.400000000000091" w:val="single" w:color="#000000"/>
                    <w:end w:sz="5.600000000000364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160" w:after="0"/>
                    <w:ind w:left="120" w:right="864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при отчислении в случае просрочки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оплаты образовательных услуг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000000"/>
                      <w:sz w:val="15"/>
                    </w:rPr>
                    <w:t>**</w:t>
                  </w:r>
                </w:p>
              </w:tc>
            </w:tr>
            <w:tr>
              <w:trPr>
                <w:trHeight w:hRule="exact" w:val="2230"/>
              </w:trPr>
              <w:tc>
                <w:tcPr>
                  <w:tcW w:type="dxa" w:w="3734"/>
                  <w:tcBorders>
                    <w:start w:sz="6.399999999999977" w:val="single" w:color="#000000"/>
                    <w:top w:sz="5.600000000000364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60" w:after="0"/>
                    <w:ind w:left="126" w:right="1152" w:firstLine="0"/>
                    <w:jc w:val="left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Начала следующего</w:t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семестра</w:t>
                  </w:r>
                  <w:r>
                    <w:rPr>
                      <w:w w:val="98.52272380482067"/>
                      <w:rFonts w:ascii="Segoe UI" w:hAnsi="Segoe UI" w:eastAsia="Segoe UI"/>
                      <w:b w:val="0"/>
                      <w:i w:val="0"/>
                      <w:color w:val="000000"/>
                      <w:sz w:val="22"/>
                    </w:rPr>
                    <w:t>*</w:t>
                  </w:r>
                </w:p>
              </w:tc>
              <w:tc>
                <w:tcPr>
                  <w:tcW w:type="dxa" w:w="5400"/>
                  <w:tcBorders>
                    <w:start w:sz="5.599999999999909" w:val="single" w:color="#000000"/>
                    <w:top w:sz="5.600000000000364" w:val="single" w:color="#000000"/>
                    <w:end w:sz="5.600000000000364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160" w:after="0"/>
                    <w:ind w:left="120" w:right="288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при отчислении студента по иным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основаниям (например, по собственному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желанию, по инициативе НИУ ВШЭ за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недобросовестное освоение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образовательной программы)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9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60" w:after="0"/>
              <w:ind w:left="82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 xml:space="preserve">* 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15"/>
              </w:rPr>
              <w:t>Начало периода обучения (модуля, семестра, учебного года) – промежуток времени, который определяется в соответствии с</w:t>
            </w:r>
          </w:p>
        </w:tc>
      </w:tr>
    </w:tbl>
    <w:p>
      <w:pPr>
        <w:autoSpaceDN w:val="0"/>
        <w:autoSpaceDE w:val="0"/>
        <w:widowControl/>
        <w:spacing w:line="240" w:lineRule="auto" w:before="130" w:after="248"/>
        <w:ind w:left="82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5"/>
        </w:rPr>
        <w:t>графиком учебного процесса в пределах 10 (десяти) дней, исчисляемых с первого дня периода обучения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2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60" w:after="0"/>
              <w:ind w:left="4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** 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15"/>
              </w:rPr>
              <w:t>При наличии задолженности по оплате обучения, только при условии полного погашения задолженности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2172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8" w:right="100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Студенты, завершившие освоение</w:t>
            </w:r>
            <w:r>
              <w:br/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образовательной программы в полном объеме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(для прохождения ГИА)</w:t>
            </w:r>
          </w:p>
        </w:tc>
      </w:tr>
    </w:tbl>
    <w:p>
      <w:pPr>
        <w:autoSpaceDN w:val="0"/>
        <w:autoSpaceDE w:val="0"/>
        <w:widowControl/>
        <w:spacing w:line="269" w:lineRule="auto" w:before="13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Подать заявление о восстановлении на обучение в НИУ ВШЭ для студентов,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завершивших освоение ОП в полном объеме (для прохождения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ГИА)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возможно в пределах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5-ти лет со дня отчисления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но не ранее чем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через 10 месяцев после срока проведения ГИА.</w:t>
      </w:r>
    </w:p>
    <w:p>
      <w:pPr>
        <w:autoSpaceDN w:val="0"/>
        <w:autoSpaceDE w:val="0"/>
        <w:widowControl/>
        <w:spacing w:line="274" w:lineRule="auto" w:before="262" w:after="26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Предельно возможная дата восстановления студента для прохождения ГИА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(в том числе для повторной ГИА), определяется академическим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руководителем ОП, при этом период восстановления для ГИА не может быть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 ранее, чем за месяц и позднее, чем за 5 рабочих дней до начала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первого государственного аттестационного испытания, запланированного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ближайший период ГИА по ОП.</w:t>
            </w:r>
          </w:p>
        </w:tc>
      </w:tr>
    </w:tbl>
    <w:p>
      <w:pPr>
        <w:autoSpaceDN w:val="0"/>
        <w:autoSpaceDE w:val="0"/>
        <w:widowControl/>
        <w:spacing w:line="240" w:lineRule="auto" w:before="836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Иные ограничения при восстановлении</w:t>
      </w:r>
    </w:p>
    <w:p>
      <w:pPr>
        <w:autoSpaceDN w:val="0"/>
        <w:autoSpaceDE w:val="0"/>
        <w:widowControl/>
        <w:spacing w:line="266" w:lineRule="auto" w:before="226" w:after="0"/>
        <w:ind w:left="90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допускается восстановление студента, предусмотренное с начала периода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 (модуля, семестра, учебного года), если заявка о восстановлении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поступила позднее 10 дней, исчисляемых с первого дня периода обучения.</w:t>
      </w:r>
    </w:p>
    <w:p>
      <w:pPr>
        <w:autoSpaceDN w:val="0"/>
        <w:autoSpaceDE w:val="0"/>
        <w:widowControl/>
        <w:spacing w:line="266" w:lineRule="auto" w:before="246" w:after="0"/>
        <w:ind w:left="904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отсутствии вакантного платного места бывший студент может подать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мотивированное заявление об открытии дополнительного платного места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восстановления. Решение принимает декан факультета.</w:t>
      </w:r>
    </w:p>
    <w:p>
      <w:pPr>
        <w:autoSpaceDN w:val="0"/>
        <w:autoSpaceDE w:val="0"/>
        <w:widowControl/>
        <w:spacing w:line="269" w:lineRule="auto" w:before="246" w:after="0"/>
        <w:ind w:left="90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основанием для отчисления студента из НИУ ВШЭ прямо или косвенно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послужили опасные дисциплинарные проступки, то решение о возможности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восстановить студента принимает специально создаваемая комиссия, состав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комиссии утверждается приказом проректора.</w:t>
      </w:r>
    </w:p>
    <w:p>
      <w:pPr>
        <w:autoSpaceDN w:val="0"/>
        <w:autoSpaceDE w:val="0"/>
        <w:widowControl/>
        <w:spacing w:line="269" w:lineRule="auto" w:before="246" w:after="0"/>
        <w:ind w:left="90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до отчисления студент полностью завершил изучение дисицплины/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иного элемента учебого плана, но не прошел по ней промежуточную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аттестацию или получил академическую задолженность/не ипользовал все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попытки сдач, оставшиеся попытки пересдач не сохраняются. В этом случае</w:t>
      </w:r>
    </w:p>
    <w:p>
      <w:pPr>
        <w:sectPr>
          <w:pgSz w:w="11918" w:h="16858"/>
          <w:pgMar w:top="222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9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указанная дисциплина/части дисциплины/иные элементы учебного плана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включаются в ИУП повторно в полном объеме.</w:t>
      </w:r>
    </w:p>
    <w:p>
      <w:pPr>
        <w:autoSpaceDN w:val="0"/>
        <w:autoSpaceDE w:val="0"/>
        <w:widowControl/>
        <w:spacing w:line="240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Восстановление на бюджетное место</w:t>
      </w:r>
    </w:p>
    <w:p>
      <w:pPr>
        <w:autoSpaceDN w:val="0"/>
        <w:autoSpaceDE w:val="0"/>
        <w:widowControl/>
        <w:spacing w:line="257" w:lineRule="auto" w:before="242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Восстановление на вакантное бюджетное место возможно при одновременном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выполнении следующих условий: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 отчисления студент обучался на бюджетном месте;</w:t>
      </w:r>
    </w:p>
    <w:p>
      <w:pPr>
        <w:autoSpaceDN w:val="0"/>
        <w:autoSpaceDE w:val="0"/>
        <w:widowControl/>
        <w:spacing w:line="269" w:lineRule="auto" w:before="24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был отчислен по собственной инициативе (инициативе родителей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(законных представителей) несовершеннолетнего студента) или по обстоятельствам,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зависящим от воли обучающегося или родителей (законных представителей)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несовершеннолетнего обучающегося и НИУ ВШЭ;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имеется вакантное бюджетное место на образовательной программе.</w:t>
      </w:r>
    </w:p>
    <w:p>
      <w:pPr>
        <w:autoSpaceDN w:val="0"/>
        <w:autoSpaceDE w:val="0"/>
        <w:widowControl/>
        <w:spacing w:line="259" w:lineRule="auto" w:before="260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вакантных бюджетных мест нет на момент восстановления, студент может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принять решение о будущем обучении на платном месте.</w:t>
      </w:r>
    </w:p>
    <w:p>
      <w:pPr>
        <w:autoSpaceDN w:val="0"/>
        <w:autoSpaceDE w:val="0"/>
        <w:widowControl/>
        <w:spacing w:line="269" w:lineRule="auto" w:before="260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Бывший студент, до отчисления обучавшийся на платном месте, финансируемом за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счет средств НИУ ВШЭ, может восстановиться только на вакантное платное место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(при наличии), финансирование обучения из собственных средств университета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этом случае не возобновляется.</w:t>
      </w:r>
    </w:p>
    <w:p>
      <w:pPr>
        <w:autoSpaceDN w:val="0"/>
        <w:autoSpaceDE w:val="0"/>
        <w:widowControl/>
        <w:spacing w:line="240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Восстановление с последующим переводом</w:t>
      </w:r>
    </w:p>
    <w:p>
      <w:pPr>
        <w:autoSpaceDN w:val="0"/>
        <w:autoSpaceDE w:val="0"/>
        <w:widowControl/>
        <w:spacing w:line="269" w:lineRule="auto" w:before="24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Восстановление для последующего перевода на другую образовательную программу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возможно только в сроки перевода, установленные образовательной программой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наличии вакантных мест (бюджетных/платных) на интересующей программе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соблюдении сроков восстановления.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Подробная информация доступна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по 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Принятие решения о восстановлении</w:t>
      </w:r>
    </w:p>
    <w:p>
      <w:pPr>
        <w:autoSpaceDN w:val="0"/>
        <w:autoSpaceDE w:val="0"/>
        <w:widowControl/>
        <w:spacing w:line="240" w:lineRule="auto" w:before="24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положительном решении о восстановлении:</w:t>
      </w:r>
    </w:p>
    <w:p>
      <w:pPr>
        <w:autoSpaceDN w:val="0"/>
        <w:autoSpaceDE w:val="0"/>
        <w:widowControl/>
        <w:spacing w:line="264" w:lineRule="auto" w:before="262" w:after="0"/>
        <w:ind w:left="9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● Студенту на платном месте направляется договор об образовании. В течение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трех дней после исполнения студентом денежных обязательств менеджер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 готовит приказ о восстановлении студента;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9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● Студенту на бюджетном месте менеджер образовательной программы готовит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 приказа о восстановлении в течение трех рабочих дней после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согласования ИУП.</w:t>
      </w:r>
    </w:p>
    <w:p>
      <w:pPr>
        <w:autoSpaceDN w:val="0"/>
        <w:autoSpaceDE w:val="0"/>
        <w:widowControl/>
        <w:spacing w:line="259" w:lineRule="auto" w:before="260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отрицательном решении менеджер ОП разъясняет студенту причины отказа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консультирует о возможных вариантах продолжения обучения.</w:t>
      </w:r>
    </w:p>
    <w:p>
      <w:pPr>
        <w:autoSpaceDN w:val="0"/>
        <w:autoSpaceDE w:val="0"/>
        <w:widowControl/>
        <w:spacing w:line="245" w:lineRule="auto" w:before="568" w:after="0"/>
        <w:ind w:left="300" w:right="115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Процедура оформления документов для начала обучения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после восстановления</w:t>
      </w:r>
    </w:p>
    <w:p>
      <w:pPr>
        <w:autoSpaceDN w:val="0"/>
        <w:autoSpaceDE w:val="0"/>
        <w:widowControl/>
        <w:spacing w:line="259" w:lineRule="auto" w:before="226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Процесс оформления документов для начала обучения после восстановления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состоит из следующих этапов:</w:t>
      </w:r>
    </w:p>
    <w:p>
      <w:pPr>
        <w:autoSpaceDN w:val="0"/>
        <w:autoSpaceDE w:val="0"/>
        <w:widowControl/>
        <w:spacing w:line="240" w:lineRule="auto" w:before="260" w:after="0"/>
        <w:ind w:left="88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Определение разницы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учебных планов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</w:p>
    <w:p>
      <w:pPr>
        <w:autoSpaceDN w:val="0"/>
        <w:autoSpaceDE w:val="0"/>
        <w:widowControl/>
        <w:spacing w:line="264" w:lineRule="auto" w:before="246" w:after="0"/>
        <w:ind w:left="886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Определение возможного курса, на котором продолжит образование студент,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соответствии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Положением о порядке проведения аттестации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</w:p>
    <w:p>
      <w:pPr>
        <w:autoSpaceDN w:val="0"/>
        <w:autoSpaceDE w:val="0"/>
        <w:widowControl/>
        <w:spacing w:line="257" w:lineRule="auto" w:before="246" w:after="0"/>
        <w:ind w:left="886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3. Составление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индивидуального учебного плана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(ИУП) и согласование его со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студентом;</w:t>
      </w:r>
    </w:p>
    <w:p>
      <w:pPr>
        <w:autoSpaceDN w:val="0"/>
        <w:autoSpaceDE w:val="0"/>
        <w:widowControl/>
        <w:spacing w:line="259" w:lineRule="auto" w:before="246" w:after="0"/>
        <w:ind w:left="886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4. Расчет стоимости нового договора об образовании в соответствии с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Порядком расчета стоимости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; 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</w:t>
      </w:r>
    </w:p>
    <w:p>
      <w:pPr>
        <w:autoSpaceDN w:val="0"/>
        <w:autoSpaceDE w:val="0"/>
        <w:widowControl/>
        <w:spacing w:line="240" w:lineRule="auto" w:before="260" w:after="0"/>
        <w:ind w:left="88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5. Издание приказа о восстановлении.</w:t>
      </w:r>
    </w:p>
    <w:p>
      <w:pPr>
        <w:autoSpaceDN w:val="0"/>
        <w:autoSpaceDE w:val="0"/>
        <w:widowControl/>
        <w:spacing w:line="240" w:lineRule="auto" w:before="198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 Применяется только в отношении студентов, которые восстанавливаются или выходят из отпуска</w:t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для обучения на платных местах.</w:t>
      </w:r>
    </w:p>
    <w:p>
      <w:pPr>
        <w:autoSpaceDN w:val="0"/>
        <w:autoSpaceDE w:val="0"/>
        <w:widowControl/>
        <w:spacing w:line="240" w:lineRule="auto" w:before="68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71" w:lineRule="auto" w:before="226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Порядок и условия восстановления лиц, отчисленных из Национального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исследовательского университета «Высшая школа экономики», и допуска студентов к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учебному процессу в связи с выходом из академического отпуска, отпуска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беременности и родам, отпуска по уходу за ребенком до достижения возраста трех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лет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 10.12.2025)</w:t>
      </w:r>
    </w:p>
    <w:p>
      <w:pPr>
        <w:autoSpaceDN w:val="0"/>
        <w:autoSpaceDE w:val="0"/>
        <w:widowControl/>
        <w:spacing w:line="266" w:lineRule="auto" w:before="260" w:after="0"/>
        <w:ind w:left="300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Положение о порядке проведения аттестации и зачета результатов предыдущего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образования при освоении образовательных программ высшего образования –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программ бакалавриата, специалитета и магистратуры в НИУ ВШЭ</w:t>
          </w:r>
        </w:hyperlink>
      </w:r>
    </w:p>
    <w:p>
      <w:pPr>
        <w:autoSpaceDN w:val="0"/>
        <w:autoSpaceDE w:val="0"/>
        <w:widowControl/>
        <w:spacing w:line="257" w:lineRule="auto" w:before="262" w:after="0"/>
        <w:ind w:left="300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Положение о государственной итоговой аттестации студентов образовательных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программ высшего образования – программ бакалавриата, специалитета 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магистратуры Национального исследовательского университета «Высшая школа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экономики»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 10.12.2025)</w:t>
      </w:r>
    </w:p>
    <w:p>
      <w:pPr>
        <w:autoSpaceDN w:val="0"/>
        <w:autoSpaceDE w:val="0"/>
        <w:widowControl/>
        <w:spacing w:line="240" w:lineRule="auto" w:before="121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1676400</wp:posOffset>
            </wp:positionV>
            <wp:extent cx="5080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2057400</wp:posOffset>
            </wp:positionV>
            <wp:extent cx="13462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2562860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9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4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Дополнительное образование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3543300</wp:posOffset>
            </wp:positionV>
            <wp:extent cx="6877050" cy="45698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7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6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7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www.hse.ru/studyspravka/plan/" TargetMode="External"/><Relationship Id="rId12" Type="http://schemas.openxmlformats.org/officeDocument/2006/relationships/hyperlink" Target="https://www.hse.ru/studyspravka/academotpusk/" TargetMode="External"/><Relationship Id="rId13" Type="http://schemas.openxmlformats.org/officeDocument/2006/relationships/hyperlink" Target="https://www.hse.ru/studyspravka/return_academ" TargetMode="External"/><Relationship Id="rId14" Type="http://schemas.openxmlformats.org/officeDocument/2006/relationships/hyperlink" Target="https://www.hse.ru/studyspravka/repeated_courses" TargetMode="External"/><Relationship Id="rId15" Type="http://schemas.openxmlformats.org/officeDocument/2006/relationships/hyperlink" Target="https://www.hse.ru/studyspravka/fees" TargetMode="External"/><Relationship Id="rId16" Type="http://schemas.openxmlformats.org/officeDocument/2006/relationships/hyperlink" Target="https://www.hse.ru/studyspravka/otch" TargetMode="Externa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hyperlink" Target="https://lk.hse.ru/student-service/student-service-second?components=24800" TargetMode="External"/><Relationship Id="rId20" Type="http://schemas.openxmlformats.org/officeDocument/2006/relationships/hyperlink" Target="https://www.hse.ru/studyspravka/programme_change/#2" TargetMode="External"/><Relationship Id="rId21" Type="http://schemas.openxmlformats.org/officeDocument/2006/relationships/hyperlink" Target="https://www.hse.ru/studyspravka/curriculum" TargetMode="External"/><Relationship Id="rId22" Type="http://schemas.openxmlformats.org/officeDocument/2006/relationships/hyperlink" Target="https://www.hse.ru/docs/838685738.html" TargetMode="External"/><Relationship Id="rId23" Type="http://schemas.openxmlformats.org/officeDocument/2006/relationships/hyperlink" Target="https://www.hse.ru/studyspravka/plan" TargetMode="External"/><Relationship Id="rId24" Type="http://schemas.openxmlformats.org/officeDocument/2006/relationships/hyperlink" Target="https://www.hse.ru/docs/1111012156.html" TargetMode="External"/><Relationship Id="rId25" Type="http://schemas.openxmlformats.org/officeDocument/2006/relationships/hyperlink" Target="https://www.hse.ru/docs/1111223628.html" TargetMode="External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29" Type="http://schemas.openxmlformats.org/officeDocument/2006/relationships/hyperlink" Target="https://www.hse.ru/org/hse/info/" TargetMode="External"/><Relationship Id="rId30" Type="http://schemas.openxmlformats.org/officeDocument/2006/relationships/hyperlink" Target="https://figures.hse.ru/" TargetMode="External"/><Relationship Id="rId31" Type="http://schemas.openxmlformats.org/officeDocument/2006/relationships/hyperlink" Target="https://www.hse.ru/orgstructure/" TargetMode="External"/><Relationship Id="rId32" Type="http://schemas.openxmlformats.org/officeDocument/2006/relationships/hyperlink" Target="https://sustainability.hse.ru/" TargetMode="External"/><Relationship Id="rId33" Type="http://schemas.openxmlformats.org/officeDocument/2006/relationships/hyperlink" Target="https://www.hse.ru/org/persons/" TargetMode="External"/><Relationship Id="rId34" Type="http://schemas.openxmlformats.org/officeDocument/2006/relationships/hyperlink" Target="https://www.hse.ru/buildinghse" TargetMode="External"/><Relationship Id="rId35" Type="http://schemas.openxmlformats.org/officeDocument/2006/relationships/hyperlink" Target="https://www.hse.ru/org/hse/aup/procurement/" TargetMode="External"/><Relationship Id="rId36" Type="http://schemas.openxmlformats.org/officeDocument/2006/relationships/hyperlink" Target="https://www.hse.ru/appeal/" TargetMode="External"/><Relationship Id="rId37" Type="http://schemas.openxmlformats.org/officeDocument/2006/relationships/hyperlink" Target="https://endowment.hse.ru/" TargetMode="External"/><Relationship Id="rId38" Type="http://schemas.openxmlformats.org/officeDocument/2006/relationships/hyperlink" Target="https://www.hse.ru/anticorruption" TargetMode="External"/><Relationship Id="rId39" Type="http://schemas.openxmlformats.org/officeDocument/2006/relationships/hyperlink" Target="https://www.hse.ru/anticorruption/information" TargetMode="External"/><Relationship Id="rId40" Type="http://schemas.openxmlformats.org/officeDocument/2006/relationships/hyperlink" Target="https://www.hse.ru/sveden/" TargetMode="External"/><Relationship Id="rId41" Type="http://schemas.openxmlformats.org/officeDocument/2006/relationships/hyperlink" Target="https://inclusive.hse.ru/" TargetMode="External"/><Relationship Id="rId42" Type="http://schemas.openxmlformats.org/officeDocument/2006/relationships/hyperlink" Target="https://pay.hse.ru/" TargetMode="External"/><Relationship Id="rId43" Type="http://schemas.openxmlformats.org/officeDocument/2006/relationships/hyperlink" Target="https://www.hse.ru/career" TargetMode="External"/><Relationship Id="rId44" Type="http://schemas.openxmlformats.org/officeDocument/2006/relationships/hyperlink" Target="https://www.hse.ru/education/" TargetMode="External"/><Relationship Id="rId45" Type="http://schemas.openxmlformats.org/officeDocument/2006/relationships/hyperlink" Target="https://school.hse.ru/" TargetMode="External"/><Relationship Id="rId46" Type="http://schemas.openxmlformats.org/officeDocument/2006/relationships/hyperlink" Target="https://fdp.hse.ru/" TargetMode="External"/><Relationship Id="rId47" Type="http://schemas.openxmlformats.org/officeDocument/2006/relationships/hyperlink" Target="https://olymp.hse.ru/" TargetMode="External"/><Relationship Id="rId48" Type="http://schemas.openxmlformats.org/officeDocument/2006/relationships/hyperlink" Target="https://ba.hse.ru/" TargetMode="External"/><Relationship Id="rId49" Type="http://schemas.openxmlformats.org/officeDocument/2006/relationships/hyperlink" Target="https://www.hse.ru/plus" TargetMode="External"/><Relationship Id="rId50" Type="http://schemas.openxmlformats.org/officeDocument/2006/relationships/hyperlink" Target="https://ma.hse.ru/" TargetMode="External"/><Relationship Id="rId51" Type="http://schemas.openxmlformats.org/officeDocument/2006/relationships/hyperlink" Target="https://aspirantura.hse.ru/" TargetMode="External"/><Relationship Id="rId52" Type="http://schemas.openxmlformats.org/officeDocument/2006/relationships/hyperlink" Target="https://busedu.hse.ru/" TargetMode="External"/><Relationship Id="rId53" Type="http://schemas.openxmlformats.org/officeDocument/2006/relationships/hyperlink" Target="https://career.hse.ru/" TargetMode="External"/><Relationship Id="rId54" Type="http://schemas.openxmlformats.org/officeDocument/2006/relationships/hyperlink" Target="http://inc.hse.ru/" TargetMode="External"/><Relationship Id="rId55" Type="http://schemas.openxmlformats.org/officeDocument/2006/relationships/hyperlink" Target="https://dd.hse.ru/" TargetMode="External"/><Relationship Id="rId56" Type="http://schemas.openxmlformats.org/officeDocument/2006/relationships/hyperlink" Target="https://www.hse.ru/feedback" TargetMode="External"/><Relationship Id="rId57" Type="http://schemas.openxmlformats.org/officeDocument/2006/relationships/hyperlink" Target="https://www.hse.ru/science/" TargetMode="External"/><Relationship Id="rId58" Type="http://schemas.openxmlformats.org/officeDocument/2006/relationships/hyperlink" Target="https://www.hse.ru/science/centers" TargetMode="External"/><Relationship Id="rId59" Type="http://schemas.openxmlformats.org/officeDocument/2006/relationships/hyperlink" Target="https://www.hse.ru/org/projects/" TargetMode="External"/><Relationship Id="rId60" Type="http://schemas.openxmlformats.org/officeDocument/2006/relationships/hyperlink" Target="https://www.hse.ru/monitoring/" TargetMode="External"/><Relationship Id="rId61" Type="http://schemas.openxmlformats.org/officeDocument/2006/relationships/hyperlink" Target="https://www.hse.ru/science/disscoun/" TargetMode="External"/><Relationship Id="rId62" Type="http://schemas.openxmlformats.org/officeDocument/2006/relationships/hyperlink" Target="https://aspirantura.hse.ru/defence/announcements/" TargetMode="External"/><Relationship Id="rId63" Type="http://schemas.openxmlformats.org/officeDocument/2006/relationships/hyperlink" Target="https://academics.hse.ru/" TargetMode="External"/><Relationship Id="rId64" Type="http://schemas.openxmlformats.org/officeDocument/2006/relationships/hyperlink" Target="https://www.hse.ru/science/hsegrants" TargetMode="External"/><Relationship Id="rId65" Type="http://schemas.openxmlformats.org/officeDocument/2006/relationships/hyperlink" Target="https://sezam.hse.ru/" TargetMode="External"/><Relationship Id="rId66" Type="http://schemas.openxmlformats.org/officeDocument/2006/relationships/hyperlink" Target="https://publications.hse.ru/" TargetMode="External"/><Relationship Id="rId67" Type="http://schemas.openxmlformats.org/officeDocument/2006/relationships/hyperlink" Target="https://library.hse.ru/" TargetMode="External"/><Relationship Id="rId68" Type="http://schemas.openxmlformats.org/officeDocument/2006/relationships/hyperlink" Target="https://id.hse.ru/" TargetMode="External"/><Relationship Id="rId69" Type="http://schemas.openxmlformats.org/officeDocument/2006/relationships/hyperlink" Target="https://bookshop.hse.ru/" TargetMode="External"/><Relationship Id="rId70" Type="http://schemas.openxmlformats.org/officeDocument/2006/relationships/hyperlink" Target="https://print.hse.ru/" TargetMode="External"/><Relationship Id="rId71" Type="http://schemas.openxmlformats.org/officeDocument/2006/relationships/hyperlink" Target="https://mc.hse.ru/" TargetMode="External"/><Relationship Id="rId72" Type="http://schemas.openxmlformats.org/officeDocument/2006/relationships/hyperlink" Target="https://www.hse.ru/science/journals" TargetMode="External"/><Relationship Id="rId73" Type="http://schemas.openxmlformats.org/officeDocument/2006/relationships/hyperlink" Target="http://www.minobrnauki.gov.ru/" TargetMode="External"/><Relationship Id="rId74" Type="http://schemas.openxmlformats.org/officeDocument/2006/relationships/hyperlink" Target="https://edu.gov.ru/" TargetMode="External"/><Relationship Id="rId75" Type="http://schemas.openxmlformats.org/officeDocument/2006/relationships/hyperlink" Target="http://www.edu.ru/" TargetMode="External"/><Relationship Id="rId76" Type="http://schemas.openxmlformats.org/officeDocument/2006/relationships/hyperlink" Target="https://elearning.hse.ru/mooc" TargetMode="External"/><Relationship Id="rId77" Type="http://schemas.openxmlformats.org/officeDocument/2006/relationships/hyperlink" Target="https://www.hse.ru/adm/edit/edit.html?goto=%2AL3N0dWR5c3ByYXZrYS92b3NzdD9fcj0zNjIyOTUyMTc3NTA4MTQ1Mi42NTMzNA%3D%3D%5E&amp;id=37316290&amp;cid=20594&amp;addon_name=default&amp;newportal=1" TargetMode="External"/><Relationship Id="rId78" Type="http://schemas.openxmlformats.org/officeDocument/2006/relationships/hyperlink" Target="https://www.hse.ru/contacts.html" TargetMode="External"/><Relationship Id="rId79" Type="http://schemas.openxmlformats.org/officeDocument/2006/relationships/hyperlink" Target="https://www.hse.ru/copyright" TargetMode="External"/><Relationship Id="rId80" Type="http://schemas.openxmlformats.org/officeDocument/2006/relationships/hyperlink" Target="https://www.hse.ru/data_protection_regulation" TargetMode="External"/><Relationship Id="rId81" Type="http://schemas.openxmlformats.org/officeDocument/2006/relationships/hyperlink" Target="https://www.hse.ru/sitemap.html" TargetMode="External"/><Relationship Id="rId82" Type="http://schemas.openxmlformats.org/officeDocument/2006/relationships/hyperlink" Target="https://design.hse.ru/" TargetMode="External"/><Relationship Id="rId8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