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Газпромбанка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352"/>
        </w:trPr>
        <w:tc>
          <w:tcPr>
            <w:tcW w:type="dxa" w:w="138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8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24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Альфа-Банка</w:t>
                </w:r>
              </w:hyperlink>
            </w:r>
          </w:p>
        </w:tc>
        <w:tc>
          <w:tcPr>
            <w:tcW w:type="dxa" w:w="72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Лукойл</w:t>
                </w:r>
              </w:hyperlink>
            </w:r>
          </w:p>
        </w:tc>
        <w:tc>
          <w:tcPr>
            <w:tcW w:type="dxa" w:w="205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2.00000000000045" w:type="dxa"/>
            </w:tblPr>
            <w:tblGrid>
              <w:gridCol w:w="2056"/>
            </w:tblGrid>
            <w:tr>
              <w:trPr>
                <w:trHeight w:hRule="exact" w:val="324"/>
              </w:trPr>
              <w:tc>
                <w:tcPr>
                  <w:tcW w:type="dxa" w:w="1634"/>
                  <w:tcBorders/>
                  <w:shd w:fill="e7ac3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HSE Sans" w:hAnsi="HSE Sans" w:eastAsia="HSE Sans"/>
                      <w:b/>
                      <w:i w:val="0"/>
                      <w:color w:val="FFFFFF"/>
                      <w:sz w:val="22"/>
                    </w:rPr>
                    <w:t>Газпромбанка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56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3" w:history="1">
                <w:r>
                  <w:rPr>
                    <w:rStyle w:val="Hyperlink"/>
                  </w:rPr>
                  <w:t>фонда В.Потанина</w:t>
                </w:r>
              </w:hyperlink>
            </w:r>
          </w:p>
        </w:tc>
        <w:tc>
          <w:tcPr>
            <w:tcW w:type="dxa" w:w="2284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22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hyperlink r:id="rId14" w:history="1">
                <w:r>
                  <w:rPr>
                    <w:rStyle w:val="Hyperlink"/>
                  </w:rPr>
                  <w:t>ЭкспоСтарт</w:t>
                </w:r>
              </w:hyperlink>
            </w:r>
          </w:p>
        </w:tc>
      </w:tr>
      <w:tr>
        <w:trPr>
          <w:trHeight w:hRule="exact" w:val="52"/>
        </w:trPr>
        <w:tc>
          <w:tcPr>
            <w:tcW w:type="dxa" w:w="138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5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6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4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0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5" w:history="1">
          <w:r>
            <w:rPr>
              <w:rStyle w:val="Hyperlink"/>
            </w:rPr>
            <w:t>Правительства Москвы</w:t>
          </w:r>
        </w:hyperlink>
      </w:r>
    </w:p>
    <w:p>
      <w:pPr>
        <w:autoSpaceDN w:val="0"/>
        <w:autoSpaceDE w:val="0"/>
        <w:widowControl/>
        <w:spacing w:line="314" w:lineRule="auto" w:before="358" w:after="0"/>
        <w:ind w:left="300" w:right="76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Газпромбанка</w:t>
      </w:r>
    </w:p>
    <w:p>
      <w:pPr>
        <w:autoSpaceDN w:val="0"/>
        <w:autoSpaceDE w:val="0"/>
        <w:widowControl/>
        <w:spacing w:line="302" w:lineRule="auto" w:before="666" w:after="0"/>
        <w:ind w:left="300" w:right="158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Для лучших студентов, отличившихся в учебной и научной деятельности, в целях их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материальной поддержки и материального стимулирования.</w:t>
      </w:r>
    </w:p>
    <w:p>
      <w:pPr>
        <w:autoSpaceDN w:val="0"/>
        <w:autoSpaceDE w:val="0"/>
        <w:widowControl/>
        <w:spacing w:line="314" w:lineRule="auto" w:before="650" w:after="0"/>
        <w:ind w:left="300" w:right="475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Размер стипендии 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60 000 рублей в год (выплачивается единовременно)</w:t>
      </w:r>
    </w:p>
    <w:p>
      <w:pPr>
        <w:autoSpaceDN w:val="0"/>
        <w:autoSpaceDE w:val="0"/>
        <w:widowControl/>
        <w:spacing w:line="302" w:lineRule="auto" w:before="666" w:after="0"/>
        <w:ind w:left="300" w:right="72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3 стипендии: 2 стипендии для факультета экономических наук, 1 стипендия для факультета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права</w:t>
      </w:r>
    </w:p>
    <w:p>
      <w:pPr>
        <w:autoSpaceDN w:val="0"/>
        <w:autoSpaceDE w:val="0"/>
        <w:widowControl/>
        <w:spacing w:line="314" w:lineRule="auto" w:before="650" w:after="330"/>
        <w:ind w:left="300" w:right="590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Студентам  3-го, 4-го курсов бакалавриата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794"/>
        </w:trPr>
        <w:tc>
          <w:tcPr>
            <w:tcW w:type="dxa" w:w="9820"/>
            <w:vMerge w:val="restart"/>
            <w:tcBorders>
              <w:top w:sz="5.600000000000364" w:val="single" w:color="#D9D9D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248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68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6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71" w:lineRule="auto" w:before="26" w:after="0"/>
              <w:ind w:left="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Назначается студентам за успе</w:t>
            </w:r>
            <w:r>
              <w:rPr>
                <w:rFonts w:ascii="HSE Sans" w:hAnsi="HSE Sans" w:eastAsia="HSE Sans"/>
                <w:b w:val="0"/>
                <w:i w:val="0"/>
                <w:strike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хи в 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учебе и науке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10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</w:p>
        </w:tc>
        <w:tc>
          <w:tcPr>
            <w:tcW w:type="dxa" w:w="680"/>
            <w:tcBorders>
              <w:top w:sz="5.600000000000364" w:val="single" w:color="#D9D9D6"/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5409"/>
            <w:vMerge/>
            <w:tcBorders>
              <w:top w:sz="5.600000000000364" w:val="single" w:color="#D9D9D6"/>
            </w:tcBorders>
          </w:tcPr>
          <w:p/>
        </w:tc>
        <w:tc>
          <w:tcPr>
            <w:tcW w:type="dxa" w:w="68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0819"/>
      </w:tblGrid>
      <w:tr>
        <w:trPr>
          <w:trHeight w:hRule="exact" w:val="296"/>
        </w:trPr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5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7914640</wp:posOffset>
            </wp:positionV>
            <wp:extent cx="6858000" cy="27781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8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октябре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учебный год сентябрь - август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 xml:space="preserve">Процедура подачи заявки на конкурс/порядок назначения стипендии без конкурса </w:t>
      </w:r>
    </w:p>
    <w:p>
      <w:pPr>
        <w:autoSpaceDN w:val="0"/>
        <w:autoSpaceDE w:val="0"/>
        <w:widowControl/>
        <w:spacing w:line="240" w:lineRule="auto" w:before="18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Кандидаты на получение стипендии выдвигаются стипендиальными комиссиями факультетов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Нет</w:t>
      </w:r>
    </w:p>
    <w:p>
      <w:pPr>
        <w:autoSpaceDN w:val="0"/>
        <w:autoSpaceDE w:val="0"/>
        <w:widowControl/>
        <w:spacing w:line="240" w:lineRule="auto" w:before="188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5092700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5473700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5981700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0" w:lineRule="auto" w:before="960" w:after="0"/>
        <w:ind w:left="300" w:right="7632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auto" w:before="716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-1676400</wp:posOffset>
            </wp:positionV>
            <wp:extent cx="6858000" cy="2895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1676400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8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7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alfa" TargetMode="External"/><Relationship Id="rId12" Type="http://schemas.openxmlformats.org/officeDocument/2006/relationships/hyperlink" Target="https://www.hse.ru/scholarships/lukoil" TargetMode="External"/><Relationship Id="rId13" Type="http://schemas.openxmlformats.org/officeDocument/2006/relationships/hyperlink" Target="https://www.hse.ru/scholarships/potanin" TargetMode="External"/><Relationship Id="rId14" Type="http://schemas.openxmlformats.org/officeDocument/2006/relationships/hyperlink" Target="https://www.hse.ru/scholarships/expostart" TargetMode="External"/><Relationship Id="rId15" Type="http://schemas.openxmlformats.org/officeDocument/2006/relationships/hyperlink" Target="https://www.hse.ru/scholarships/mosgovt" TargetMode="External"/><Relationship Id="rId16" Type="http://schemas.openxmlformats.org/officeDocument/2006/relationships/hyperlink" Target="https://www.hse.ru/cookie.html" TargetMode="External"/><Relationship Id="rId17" Type="http://schemas.openxmlformats.org/officeDocument/2006/relationships/hyperlink" Target="https://www.hse.ru/data_protection_regulation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image" Target="media/image5.png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adm/edit/edit.html?goto=%2AL3NjaG9sYXJzaGlwcy9nYXpwcm9tYmFuaz9fcj0yODA4NzE2MTc3NDcwMzA3MS4wMzI0Ng%3D%3D%5E&amp;id=187774067&amp;cid=20594&amp;addon_name=default&amp;newportal=1" TargetMode="External"/><Relationship Id="rId39" Type="http://schemas.openxmlformats.org/officeDocument/2006/relationships/hyperlink" Target="https://www.hse.ru/contacts.html" TargetMode="External"/><Relationship Id="rId40" Type="http://schemas.openxmlformats.org/officeDocument/2006/relationships/hyperlink" Target="https://www.hse.ru/copyright" TargetMode="External"/><Relationship Id="rId41" Type="http://schemas.openxmlformats.org/officeDocument/2006/relationships/hyperlink" Target="https://www.hse.ru/sitemap.html" TargetMode="External"/><Relationship Id="rId42" Type="http://schemas.openxmlformats.org/officeDocument/2006/relationships/hyperlink" Target="https://design.hse.ru/" TargetMode="External"/><Relationship Id="rId43" Type="http://schemas.openxmlformats.org/officeDocument/2006/relationships/image" Target="media/image6.png"/><Relationship Id="rId4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