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Гранты Президента РФ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705"/>
        <w:gridCol w:w="2705"/>
        <w:gridCol w:w="2705"/>
        <w:gridCol w:w="2705"/>
      </w:tblGrid>
      <w:tr>
        <w:trPr>
          <w:trHeight w:hRule="exact" w:val="352"/>
        </w:trPr>
        <w:tc>
          <w:tcPr>
            <w:tcW w:type="dxa" w:w="151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1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Президента РФ</w:t>
                </w:r>
              </w:hyperlink>
            </w:r>
          </w:p>
        </w:tc>
        <w:tc>
          <w:tcPr>
            <w:tcW w:type="dxa" w:w="201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Правительства РФ</w:t>
                </w:r>
              </w:hyperlink>
            </w:r>
          </w:p>
        </w:tc>
        <w:tc>
          <w:tcPr>
            <w:tcW w:type="dxa" w:w="274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2744"/>
            </w:tblGrid>
            <w:tr>
              <w:trPr>
                <w:trHeight w:hRule="exact" w:val="324"/>
              </w:trPr>
              <w:tc>
                <w:tcPr>
                  <w:tcW w:type="dxa" w:w="2536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Гранты Президента РФ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"/>
        </w:trPr>
        <w:tc>
          <w:tcPr>
            <w:tcW w:type="dxa" w:w="15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2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4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0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Стипендия Президента РФ для обучения за рубежом</w:t>
          </w:r>
        </w:hyperlink>
      </w:r>
    </w:p>
    <w:p>
      <w:pPr>
        <w:autoSpaceDN w:val="0"/>
        <w:autoSpaceDE w:val="0"/>
        <w:widowControl/>
        <w:spacing w:line="240" w:lineRule="auto" w:before="358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гранта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Грант Президента Российской Федерации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гранта</w:t>
      </w:r>
    </w:p>
    <w:p>
      <w:pPr>
        <w:autoSpaceDN w:val="0"/>
        <w:autoSpaceDE w:val="0"/>
        <w:widowControl/>
        <w:spacing w:line="259" w:lineRule="auto" w:before="200" w:after="0"/>
        <w:ind w:left="300" w:right="288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Гранты учреждены для поддержки студентов, проявивших выдающиеся способности в научной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деятельности, в области искусств и спорта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гранта рублей в месяц</w:t>
      </w:r>
    </w:p>
    <w:p>
      <w:pPr>
        <w:autoSpaceDN w:val="0"/>
        <w:autoSpaceDE w:val="0"/>
        <w:widowControl/>
        <w:spacing w:line="269" w:lineRule="auto" w:before="202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20 000 рублей; 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40 000 рублей (в повышенном размере) получателям бакалавриата и специалитета (начиная</w:t>
      </w:r>
      <w:r>
        <w:rPr>
          <w:rFonts w:ascii="HSE Sans" w:hAnsi="HSE Sans" w:eastAsia="HSE Sans"/>
          <w:b w:val="0"/>
          <w:i w:val="0"/>
          <w:color w:val="000000"/>
          <w:sz w:val="24"/>
        </w:rPr>
        <w:t>с 3 года обучения), программам магистратуры, имеющим достижения по приоритетным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направлениям модернизации и научно-технологического развития российской экономики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грантов</w:t>
      </w:r>
    </w:p>
    <w:p>
      <w:pPr>
        <w:autoSpaceDN w:val="0"/>
        <w:autoSpaceDE w:val="0"/>
        <w:widowControl/>
        <w:spacing w:line="259" w:lineRule="auto" w:before="200" w:after="330"/>
        <w:ind w:left="300" w:right="72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все вузы РФ: 1 200 грантов ежегодно для студентов бакалавриата и специалитета и 750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грантов ежегодно для студентов магистратуры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1184"/>
        </w:trPr>
        <w:tc>
          <w:tcPr>
            <w:tcW w:type="dxa" w:w="9900"/>
            <w:vMerge w:val="restart"/>
            <w:tcBorders>
              <w:top w:sz="6.399999999999636" w:val="single" w:color="#D9D9D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" w:val="left"/>
              </w:tabs>
              <w:autoSpaceDE w:val="0"/>
              <w:widowControl/>
              <w:spacing w:line="245" w:lineRule="auto" w:before="320" w:after="0"/>
              <w:ind w:left="0" w:right="144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Кому назначается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Гражданам РФ, поступившим в текущем году на обучение по очной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4" w:history="1">
                <w:r>
                  <w:rPr>
                    <w:rStyle w:val="Hyperlink"/>
                  </w:rPr>
                  <w:t>, оч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но-заочной и заочной</w:t>
            </w:r>
          </w:p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формам обучения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5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1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</w:tc>
        <w:tc>
          <w:tcPr>
            <w:tcW w:type="dxa" w:w="600"/>
            <w:tcBorders>
              <w:top w:sz="6.399999999999636" w:val="single" w:color="#D9D9D6"/>
              <w:bottom w:sz="6.399999999999636" w:val="single" w:color="#0079C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5409"/>
            <w:vMerge/>
            <w:tcBorders>
              <w:top w:sz="6.399999999999636" w:val="single" w:color="#D9D9D6"/>
            </w:tcBorders>
          </w:tcPr>
          <w:p/>
        </w:tc>
        <w:tc>
          <w:tcPr>
            <w:tcW w:type="dxa" w:w="60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0819"/>
      </w:tblGrid>
      <w:tr>
        <w:trPr>
          <w:trHeight w:hRule="exact" w:val="296"/>
        </w:trPr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4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За что назначается (критерии отбора)</w:t>
      </w:r>
    </w:p>
    <w:p>
      <w:pPr>
        <w:autoSpaceDN w:val="0"/>
        <w:autoSpaceDE w:val="0"/>
        <w:widowControl/>
        <w:spacing w:line="259" w:lineRule="auto" w:before="202" w:after="0"/>
        <w:ind w:left="300" w:right="1152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Победа или призовое место в заключительных (итоговых) этапов олимпиад и иных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интеллектуальных и (или) творческих конкурсов, наличие публикаций (для магистров)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 1 сентября по итогам заключения Договоров на получение гранта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59" w:lineRule="auto" w:before="202" w:after="0"/>
        <w:ind w:left="300" w:right="432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время обучения в университете с ежегодным подтверждением соответствия требованиям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получения гранта согласно Договору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Процедура подачи заявки/порядок назначения грантов</w:t>
      </w:r>
    </w:p>
    <w:p>
      <w:pPr>
        <w:autoSpaceDN w:val="0"/>
        <w:autoSpaceDE w:val="0"/>
        <w:widowControl/>
        <w:spacing w:line="264" w:lineRule="auto" w:before="200" w:after="0"/>
        <w:ind w:left="300" w:right="576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После опубликования списка претендентов (ориентировочно 1-го декабря) на сайте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7" w:history="1">
          <w:r>
            <w:rPr>
              <w:rStyle w:val="Hyperlink"/>
            </w:rPr>
            <w:t>грантыпрезидента.рф</w:t>
          </w:r>
        </w:hyperlink>
      </w:r>
      <w:r>
        <w:rPr>
          <w:rFonts w:ascii="HSE Sans" w:hAnsi="HSE Sans" w:eastAsia="HSE Sans"/>
          <w:b w:val="0"/>
          <w:i w:val="0"/>
          <w:color w:val="000000"/>
          <w:sz w:val="24"/>
        </w:rPr>
        <w:t>, зарегистрироваться на сайте, подготовить и разместить необходимые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заверенные копии документов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гранта</w:t>
      </w:r>
    </w:p>
    <w:p>
      <w:pPr>
        <w:autoSpaceDN w:val="0"/>
        <w:autoSpaceDE w:val="0"/>
        <w:widowControl/>
        <w:spacing w:line="264" w:lineRule="auto" w:before="186" w:after="0"/>
        <w:ind w:left="300" w:right="1152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Отсутствие научных достижений за год, наличие академической задолженности, отказ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от гранта, отчисление по инициативе ВУЗа, отчисление по инициативе студента,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академический отпуск по семейным обстоятельствам</w:t>
      </w:r>
    </w:p>
    <w:p>
      <w:pPr>
        <w:autoSpaceDN w:val="0"/>
        <w:autoSpaceDE w:val="0"/>
        <w:widowControl/>
        <w:spacing w:line="240" w:lineRule="auto" w:before="188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7454900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7835900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8343900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6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5" w:lineRule="auto" w:before="746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581660</wp:posOffset>
            </wp:positionV>
            <wp:extent cx="6858000" cy="4572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3924300</wp:posOffset>
            </wp:positionV>
            <wp:extent cx="838200" cy="76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6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president_prioritet" TargetMode="External"/><Relationship Id="rId12" Type="http://schemas.openxmlformats.org/officeDocument/2006/relationships/hyperlink" Target="https://www.hse.ru/scholarships/government_prioritet" TargetMode="External"/><Relationship Id="rId13" Type="http://schemas.openxmlformats.org/officeDocument/2006/relationships/hyperlink" Target="https://www.hse.ru/scholarships/president_forstudyingabroad" TargetMode="External"/><Relationship Id="rId14" Type="http://schemas.openxmlformats.org/officeDocument/2006/relationships/hyperlink" Target="https://www.hse.ru/cookie.html" TargetMode="External"/><Relationship Id="rId15" Type="http://schemas.openxmlformats.org/officeDocument/2006/relationships/hyperlink" Target="https://www.hse.ru/data_protection_regulation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://xn--80aahfebmi6bfqjd0ai9k.xn--p1ai/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adm/edit/edit.html?goto=%2AL3NjaG9sYXJzaGlwcy9ncmFudHM%2FX3I9MjgwODQ1MjE3NzQ3MDI4ODEuNzE3Nzc%3D%5E&amp;id=182528787&amp;cid=20594&amp;addon_name=default&amp;newportal=1" TargetMode="External"/><Relationship Id="rId37" Type="http://schemas.openxmlformats.org/officeDocument/2006/relationships/hyperlink" Target="https://www.hse.ru/contacts.html" TargetMode="External"/><Relationship Id="rId38" Type="http://schemas.openxmlformats.org/officeDocument/2006/relationships/hyperlink" Target="https://www.hse.ru/copyright" TargetMode="External"/><Relationship Id="rId39" Type="http://schemas.openxmlformats.org/officeDocument/2006/relationships/hyperlink" Target="https://www.hse.ru/sitemap.html" TargetMode="External"/><Relationship Id="rId40" Type="http://schemas.openxmlformats.org/officeDocument/2006/relationships/hyperlink" Target="https://design.hse.ru/" TargetMode="External"/><Relationship Id="rId41" Type="http://schemas.openxmlformats.org/officeDocument/2006/relationships/image" Target="media/image5.png"/><Relationship Id="rId4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