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432" w:right="432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48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Именная стипендия Правительства Москвы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803"/>
        <w:gridCol w:w="1803"/>
        <w:gridCol w:w="1803"/>
        <w:gridCol w:w="1803"/>
        <w:gridCol w:w="1803"/>
        <w:gridCol w:w="1803"/>
      </w:tblGrid>
      <w:tr>
        <w:trPr>
          <w:trHeight w:hRule="exact" w:val="368"/>
        </w:trPr>
        <w:tc>
          <w:tcPr>
            <w:tcW w:type="dxa" w:w="12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Стипендии:</w:t>
            </w:r>
          </w:p>
        </w:tc>
        <w:tc>
          <w:tcPr>
            <w:tcW w:type="dxa" w:w="158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Альфа-Банка</w:t>
            </w:r>
          </w:p>
        </w:tc>
        <w:tc>
          <w:tcPr>
            <w:tcW w:type="dxa" w:w="7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Лукойл</w:t>
            </w:r>
          </w:p>
        </w:tc>
        <w:tc>
          <w:tcPr>
            <w:tcW w:type="dxa" w:w="151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Газпромбанка</w:t>
            </w:r>
          </w:p>
        </w:tc>
        <w:tc>
          <w:tcPr>
            <w:tcW w:type="dxa" w:w="19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6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фонда В.Потанина</w:t>
            </w:r>
          </w:p>
        </w:tc>
        <w:tc>
          <w:tcPr>
            <w:tcW w:type="dxa" w:w="139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2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ЭкспоСтарт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532"/>
        </w:trPr>
        <w:tc>
          <w:tcPr>
            <w:tcW w:type="dxa" w:w="50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040"/>
            </w:tblGrid>
            <w:tr>
              <w:trPr>
                <w:trHeight w:hRule="exact" w:val="370"/>
              </w:trPr>
              <w:tc>
                <w:tcPr>
                  <w:tcW w:type="dxa" w:w="2580"/>
                  <w:tcBorders/>
                  <w:shd w:fill="e7ac3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Правительства Москвы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31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Именная стипендия Правительства Москвы (ИСПМ)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Мотивация и материальная поддержка студентов, представляющих в будущем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высококвалифицированных специалистов для города Москвы</w:t>
      </w:r>
    </w:p>
    <w:p>
      <w:pPr>
        <w:autoSpaceDN w:val="0"/>
        <w:autoSpaceDE w:val="0"/>
        <w:widowControl/>
        <w:spacing w:line="240" w:lineRule="auto" w:before="65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стипендии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39 000 рублей не позднее 15 января;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39 000 рублей не позднее 15 июня (при наличии оценок только "отлично" и/или "хорошо" по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результатам зимней сессии)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Ограничено квотами (1 курс - 1000 стипендий, 2 курс - 500 стипендий, 3 курс - 300 стипендий,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4 курс - 200 стипендий для студентов всех вузов г. Москвы)</w:t>
      </w:r>
    </w:p>
    <w:p>
      <w:pPr>
        <w:autoSpaceDN w:val="0"/>
        <w:autoSpaceDE w:val="0"/>
        <w:widowControl/>
        <w:spacing w:line="240" w:lineRule="auto" w:before="666" w:after="6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Кому назначается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06"/>
        <w:gridCol w:w="3606"/>
        <w:gridCol w:w="3606"/>
      </w:tblGrid>
      <w:tr>
        <w:trPr>
          <w:trHeight w:hRule="exact" w:val="845"/>
        </w:trPr>
        <w:tc>
          <w:tcPr>
            <w:tcW w:type="dxa" w:w="10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42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Студентам 1-го, 2-го, 3-го и 4-го курсов бакалавриата (специалитета), обучающихся за счет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  <w:p>
            <w:pPr>
              <w:autoSpaceDN w:val="0"/>
              <w:autoSpaceDE w:val="0"/>
              <w:widowControl/>
              <w:spacing w:line="250" w:lineRule="auto" w:before="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бюджета по специальностям, наиболее важным для городского хо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hyperlink r:id="rId11" w:history="1">
                <w:r>
                  <w:rPr>
                    <w:rStyle w:val="Hyperlink"/>
                  </w:rPr>
                  <w:t>зяй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ства 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1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</w:tc>
        <w:tc>
          <w:tcPr>
            <w:tcW w:type="dxa" w:w="580"/>
            <w:tcBorders>
              <w:bottom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1"/>
        </w:trPr>
        <w:tc>
          <w:tcPr>
            <w:tcW w:type="dxa" w:w="620"/>
            <w:tcBorders/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647700</wp:posOffset>
                  </wp:positionH>
                  <wp:positionV relativeFrom="page">
                    <wp:posOffset>9525000</wp:posOffset>
                  </wp:positionV>
                  <wp:extent cx="190500" cy="17145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5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24"/>
              </w:rPr>
              <w:hyperlink r:id="rId13" w:history="1">
                <w:r>
                  <w:rPr>
                    <w:rStyle w:val="Hyperlink"/>
                  </w:rPr>
                  <w:t>2_Распоряжение Правител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24"/>
              </w:rPr>
              <w:hyperlink r:id="rId13" w:history="1">
                <w:r>
                  <w:rPr>
                    <w:rStyle w:val="Hyperlink"/>
                  </w:rPr>
                  <w:t>ьств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24"/>
              </w:rPr>
              <w:hyperlink r:id="rId13" w:history="1">
                <w:r>
                  <w:rPr>
                    <w:rStyle w:val="Hyperlink"/>
                  </w:rPr>
                  <w:t>а Москвы от 22.08.2012 № 461-РП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3" w:history="1">
                <w:r>
                  <w:rPr>
                    <w:rStyle w:val="Hyperlink"/>
                  </w:rPr>
                  <w:t xml:space="preserve">персональных данных – 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3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3" w:history="1">
                <w:r>
                  <w:rPr>
                    <w:rStyle w:val="Hyperlink"/>
                  </w:rPr>
                  <w:t>. Продолжая пользоваться сайтом, вы подтве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рждаете, что были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 (RTF, 601 Кб)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13" w:history="1">
                <w:r>
                  <w:rPr>
                    <w:rStyle w:val="Hyperlink"/>
                  </w:rPr>
                  <w:t>проинформированы об использовании файлов cookies сайтом НИУ ВШЭ и соглас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ны с нашими правилами</w:t>
            </w:r>
          </w:p>
        </w:tc>
        <w:tc>
          <w:tcPr>
            <w:tcW w:type="dxa" w:w="580"/>
            <w:tcBorders>
              <w:top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0819"/>
      </w:tblGrid>
      <w:tr>
        <w:trPr>
          <w:trHeight w:hRule="exact" w:val="296"/>
        </w:trPr>
        <w:tc>
          <w:tcPr>
            <w:tcW w:type="dxa" w:w="9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31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За что назначается (критерии отбора)</w:t>
      </w:r>
    </w:p>
    <w:p>
      <w:pPr>
        <w:autoSpaceDN w:val="0"/>
        <w:autoSpaceDE w:val="0"/>
        <w:widowControl/>
        <w:spacing w:line="264" w:lineRule="auto" w:before="186" w:after="0"/>
        <w:ind w:left="300" w:right="576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Студентам 1-го курса назначается по итогам конкурсного отбора с наибольшим количеством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баллов ЕГЭ по трем предметам, при обязательном наличии медали «За особые успехи в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обучении».</w:t>
      </w:r>
    </w:p>
    <w:p>
      <w:pPr>
        <w:autoSpaceDN w:val="0"/>
        <w:autoSpaceDE w:val="0"/>
        <w:widowControl/>
        <w:spacing w:line="264" w:lineRule="auto" w:before="52" w:after="0"/>
        <w:ind w:left="300" w:right="288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Студентам 2-го, 3-го и 4-го курсов назначается по итогам конкурсного отбора при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обязательном требовании по успеваемости -  на «хорошо» и «отлично» за все время обучения,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и документальным подтверждением участия в предшествующем учебном году в общественно -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значимых мероприятиях в г.  Москве) </w:t>
      </w:r>
    </w:p>
    <w:p>
      <w:pPr>
        <w:autoSpaceDN w:val="0"/>
        <w:autoSpaceDE w:val="0"/>
        <w:widowControl/>
        <w:spacing w:line="262" w:lineRule="auto" w:before="426" w:after="0"/>
        <w:ind w:left="300" w:right="576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5" w:history="1">
          <w:r>
            <w:rPr>
              <w:rStyle w:val="Hyperlink"/>
            </w:rPr>
            <w:t xml:space="preserve">Курирует работу с именными стипендиатами (кандидатами на стипендии)  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5" w:history="1">
          <w:r>
            <w:rPr>
              <w:rStyle w:val="Hyperlink"/>
            </w:rPr>
            <w:t>Государственное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5" w:history="1">
          <w:r>
            <w:rPr>
              <w:rStyle w:val="Hyperlink"/>
            </w:rPr>
            <w:t>бюджетное учреждение г. Москвы «Городской центр профессионального и карьерного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5" w:history="1">
          <w:r>
            <w:rPr>
              <w:rStyle w:val="Hyperlink"/>
            </w:rPr>
            <w:t xml:space="preserve">развития» </w:t>
          </w:r>
        </w:hyperlink>
      </w:r>
    </w:p>
    <w:p>
      <w:pPr>
        <w:autoSpaceDN w:val="0"/>
        <w:autoSpaceDE w:val="0"/>
        <w:widowControl/>
        <w:spacing w:line="240" w:lineRule="auto" w:before="42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6" w:history="1">
          <w:r>
            <w:rPr>
              <w:rStyle w:val="Hyperlink"/>
            </w:rPr>
            <w:t>Куратор именной стипендии Правительства Москвы</w:t>
          </w:r>
        </w:hyperlink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Отбор стипендиатов - сентябрь - октябрь </w:t>
      </w:r>
    </w:p>
    <w:p>
      <w:pPr>
        <w:autoSpaceDN w:val="0"/>
        <w:autoSpaceDE w:val="0"/>
        <w:widowControl/>
        <w:spacing w:line="240" w:lineRule="auto" w:before="65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59" w:lineRule="auto" w:before="202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 учебный год с сентября по август, с учетом  мониторинга успеваемости 1 и 2 модулей в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январе.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Процедура подачи заявки на конкурс/порядок назначения стипендии без конкурса</w:t>
      </w:r>
    </w:p>
    <w:p>
      <w:pPr>
        <w:autoSpaceDN w:val="0"/>
        <w:autoSpaceDE w:val="0"/>
        <w:widowControl/>
        <w:spacing w:line="252" w:lineRule="auto" w:before="202" w:after="0"/>
        <w:ind w:left="300" w:right="1152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Заявки подаются студентами 2-4 курсов в Центр стипендиальных и благотворительных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программ.</w:t>
      </w:r>
    </w:p>
    <w:p>
      <w:pPr>
        <w:autoSpaceDN w:val="0"/>
        <w:autoSpaceDE w:val="0"/>
        <w:widowControl/>
        <w:spacing w:line="264" w:lineRule="auto" w:before="5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Студенты 1 курса бакалавриата/специалитета заявки подают для подтверждения списка,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который формирует и предоставляет в НИУ ВШЭ Департамент образования г. Москвы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Конкурсный отбор осуществляет Комиссия Департамента образования г. Москвы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</w:p>
    <w:p>
      <w:pPr>
        <w:autoSpaceDN w:val="0"/>
        <w:autoSpaceDE w:val="0"/>
        <w:widowControl/>
        <w:spacing w:line="264" w:lineRule="auto" w:before="186" w:after="0"/>
        <w:ind w:left="300" w:right="576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Отчисление студента, получение оценки «удовлетворительно» или «неудовлетворительно»,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перевод на место с оплатой обучения, перевод на другую образовательную программу, не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входящую в перечень наиболее важных для городского хозяйства.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Дополнительная информация (документы, положения)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5372100</wp:posOffset>
            </wp:positionV>
            <wp:extent cx="6858000" cy="4572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8724900</wp:posOffset>
            </wp:positionV>
            <wp:extent cx="838200" cy="63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75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7" w:history="1">
          <w:r>
            <w:rPr>
              <w:rStyle w:val="Hyperlink"/>
            </w:rPr>
            <w:t>Постановление Правительства Москвы от 08.07.2003 N 534-ПП</w:t>
          </w:r>
        </w:hyperlink>
      </w:r>
    </w:p>
    <w:p>
      <w:pPr>
        <w:autoSpaceDN w:val="0"/>
        <w:autoSpaceDE w:val="0"/>
        <w:widowControl/>
        <w:spacing w:line="240" w:lineRule="auto" w:before="18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2552700</wp:posOffset>
            </wp:positionV>
            <wp:extent cx="495300" cy="228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2933700</wp:posOffset>
            </wp:positionV>
            <wp:extent cx="1333500" cy="304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1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3439160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58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6" w:lineRule="auto" w:before="474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59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cookie.html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hse.ru/data/2023/08/11/2069864273/2_%D0%A0%D0%B0%D1%81%D0%BF%D0%BE%D1%80%D1%8F%D0%B6%D0%B5%D0%BD%D0%B8%D0%B5%20%D0%9F%D1%80%D0%B0%D0%B2%D0%B8%D1%82%D0%B5%D0%BB%D1%8C%D1%81%D1%82%D0%B2%D0%B0%20%D0%9C%D0%BE%D1%81%D0%BA%D0%B2%D1%8B%20%D0%BE%D1%82%2022.08.2012%20%E2%84%96%20461-%D0%A0%D0%9F.rtf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centrprof.dtoiv.mos.ru/" TargetMode="External"/><Relationship Id="rId16" Type="http://schemas.openxmlformats.org/officeDocument/2006/relationships/hyperlink" Target="https://vk.com/shinshiiiiiii" TargetMode="External"/><Relationship Id="rId17" Type="http://schemas.openxmlformats.org/officeDocument/2006/relationships/hyperlink" Target="https://disk.360.yandex.ru/edit/d/Vz6ssltQaI1dnlIisqG5jCPegnqahzm72s0qoIz-cKg6RFNzWjgtWkZMZw?sk=y17b0c5c94e301eef0ebab0feb83c0cd7" TargetMode="Externa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hyperlink" Target="https://www.hse.ru/org/hse/info/" TargetMode="External"/><Relationship Id="rId22" Type="http://schemas.openxmlformats.org/officeDocument/2006/relationships/hyperlink" Target="https://figures.hse.ru/" TargetMode="External"/><Relationship Id="rId23" Type="http://schemas.openxmlformats.org/officeDocument/2006/relationships/hyperlink" Target="https://www.hse.ru/orgstructure/" TargetMode="External"/><Relationship Id="rId24" Type="http://schemas.openxmlformats.org/officeDocument/2006/relationships/hyperlink" Target="https://sustainability.hse.ru/" TargetMode="External"/><Relationship Id="rId25" Type="http://schemas.openxmlformats.org/officeDocument/2006/relationships/hyperlink" Target="https://www.hse.ru/org/persons/" TargetMode="External"/><Relationship Id="rId26" Type="http://schemas.openxmlformats.org/officeDocument/2006/relationships/hyperlink" Target="https://www.hse.ru/buildinghse" TargetMode="External"/><Relationship Id="rId27" Type="http://schemas.openxmlformats.org/officeDocument/2006/relationships/hyperlink" Target="https://www.hse.ru/org/hse/aup/procurement/" TargetMode="External"/><Relationship Id="rId28" Type="http://schemas.openxmlformats.org/officeDocument/2006/relationships/hyperlink" Target="https://www.hse.ru/appeal/" TargetMode="External"/><Relationship Id="rId29" Type="http://schemas.openxmlformats.org/officeDocument/2006/relationships/hyperlink" Target="https://endowment.hse.ru/" TargetMode="External"/><Relationship Id="rId30" Type="http://schemas.openxmlformats.org/officeDocument/2006/relationships/hyperlink" Target="https://www.hse.ru/anticorruption" TargetMode="External"/><Relationship Id="rId31" Type="http://schemas.openxmlformats.org/officeDocument/2006/relationships/hyperlink" Target="https://www.hse.ru/anticorruption/information" TargetMode="External"/><Relationship Id="rId32" Type="http://schemas.openxmlformats.org/officeDocument/2006/relationships/hyperlink" Target="https://www.hse.ru/sveden/" TargetMode="External"/><Relationship Id="rId33" Type="http://schemas.openxmlformats.org/officeDocument/2006/relationships/hyperlink" Target="https://inclusive.hse.ru/" TargetMode="External"/><Relationship Id="rId34" Type="http://schemas.openxmlformats.org/officeDocument/2006/relationships/hyperlink" Target="https://pay.hse.ru/" TargetMode="External"/><Relationship Id="rId35" Type="http://schemas.openxmlformats.org/officeDocument/2006/relationships/hyperlink" Target="https://www.hse.ru/career" TargetMode="External"/><Relationship Id="rId36" Type="http://schemas.openxmlformats.org/officeDocument/2006/relationships/hyperlink" Target="https://www.hse.ru/adm/edit/edit.html?goto=%2AL3NjaG9sYXJzaGlwcy9tb3Nnb3Z0P19yPTI4MDg3MTUxNzc0NzAzMjA5Ljg2Njcy%5E&amp;id=115672747&amp;cid=20594&amp;addon_name=default&amp;newportal=1" TargetMode="External"/><Relationship Id="rId37" Type="http://schemas.openxmlformats.org/officeDocument/2006/relationships/hyperlink" Target="https://www.hse.ru/contacts.html" TargetMode="External"/><Relationship Id="rId38" Type="http://schemas.openxmlformats.org/officeDocument/2006/relationships/hyperlink" Target="https://www.hse.ru/copyright" TargetMode="External"/><Relationship Id="rId39" Type="http://schemas.openxmlformats.org/officeDocument/2006/relationships/hyperlink" Target="https://www.hse.ru/data_protection_regulation" TargetMode="External"/><Relationship Id="rId40" Type="http://schemas.openxmlformats.org/officeDocument/2006/relationships/hyperlink" Target="https://www.hse.ru/sitemap.html" TargetMode="External"/><Relationship Id="rId41" Type="http://schemas.openxmlformats.org/officeDocument/2006/relationships/hyperlink" Target="https://design.hse.ru/" TargetMode="External"/><Relationship Id="rId42" Type="http://schemas.openxmlformats.org/officeDocument/2006/relationships/image" Target="media/image6.png"/><Relationship Id="rId4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