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48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Cоциальное обеспечение детей-сирот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368"/>
        </w:trPr>
        <w:tc>
          <w:tcPr>
            <w:tcW w:type="dxa" w:w="219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Материальная помощь</w:t>
            </w:r>
          </w:p>
        </w:tc>
        <w:tc>
          <w:tcPr>
            <w:tcW w:type="dxa" w:w="58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6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Материальная поддержка остронуждающимся студентам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532"/>
        </w:trPr>
        <w:tc>
          <w:tcPr>
            <w:tcW w:type="dxa" w:w="80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010"/>
            </w:tblGrid>
            <w:tr>
              <w:trPr>
                <w:trHeight w:hRule="exact" w:val="370"/>
              </w:trPr>
              <w:tc>
                <w:tcPr>
                  <w:tcW w:type="dxa" w:w="4080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Социальное обеспечение детей-сирот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6" w:lineRule="auto" w:before="432" w:after="0"/>
        <w:ind w:left="300" w:right="28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Социальная поддержка студентов, относящихся к категории детей-сирот и детей, оставшихся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без попечения родителей, лиц из числа детей-сирот и детей, оставшихся без попечения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родителей, лиц, потерявших в период обучения обоих родителей или единственного родителя,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обучающихся по очной форме по основным образовательным программам за счет бюджетных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средств, (далее студенты-сироты)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включает в себя следующие гарантии: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– выплата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государственной социальной стипендии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зачисление на полное государственное обеспечение;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– получение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материальной помощи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назначение материальной поддержки остронуждающимся студентам;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– предоставление жилого помещения 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общежитии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НИУ ВШЭ;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– путевки в пансионат/дом отдыха в период зимних и летних каникул. </w:t>
      </w:r>
    </w:p>
    <w:p>
      <w:pPr>
        <w:autoSpaceDN w:val="0"/>
        <w:autoSpaceDE w:val="0"/>
        <w:widowControl/>
        <w:spacing w:line="264" w:lineRule="auto" w:before="466" w:after="34"/>
        <w:ind w:left="288" w:right="288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24"/>
        </w:rPr>
        <w:t>Зачисление на полное государственное обеспечение осуществляется в соответствии с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Порядком предоставления полного государственного обеспечения и дополнительных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364"/>
        </w:trPr>
        <w:tc>
          <w:tcPr>
            <w:tcW w:type="dxa" w:w="112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t xml:space="preserve">гарантий </w:t>
            </w:r>
          </w:p>
        </w:tc>
        <w:tc>
          <w:tcPr>
            <w:tcW w:type="dxa" w:w="58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t xml:space="preserve">по </w:t>
            </w:r>
          </w:p>
        </w:tc>
        <w:tc>
          <w:tcPr>
            <w:tcW w:type="dxa" w:w="158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t xml:space="preserve">социальной </w:t>
            </w:r>
          </w:p>
        </w:tc>
        <w:tc>
          <w:tcPr>
            <w:tcW w:type="dxa" w:w="150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t xml:space="preserve">поддержке </w:t>
            </w:r>
          </w:p>
        </w:tc>
        <w:tc>
          <w:tcPr>
            <w:tcW w:type="dxa" w:w="148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t>студентам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80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обучающимся </w:t>
            </w:r>
          </w:p>
        </w:tc>
        <w:tc>
          <w:tcPr>
            <w:tcW w:type="dxa" w:w="44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6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Национальном</w:t>
            </w:r>
          </w:p>
        </w:tc>
      </w:tr>
    </w:tbl>
    <w:p>
      <w:pPr>
        <w:autoSpaceDN w:val="0"/>
        <w:autoSpaceDE w:val="0"/>
        <w:widowControl/>
        <w:spacing w:line="278" w:lineRule="auto" w:before="74" w:after="360"/>
        <w:ind w:left="300" w:right="320" w:firstLine="0"/>
        <w:jc w:val="both"/>
      </w:pPr>
      <w:r>
        <w:rPr>
          <w:rFonts w:ascii="HSE Sans" w:hAnsi="HSE Sans" w:eastAsia="HSE Sans"/>
          <w:b w:val="0"/>
          <w:i w:val="0"/>
          <w:color w:val="000000"/>
          <w:sz w:val="24"/>
        </w:rPr>
        <w:t>исследовательском университете «Высшая школа экономики» со дня зачисления в НИУ ВШЭ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до завершения обучения. В случае достижения студентами, зачисленными на полное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государственное обеспечение, возраста 23 лет за ними сохраняется право на полное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государственное обеспечение и дополнительные гарантии по социальной поддержке.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19"/>
      </w:tblGrid>
      <w:tr>
        <w:trPr>
          <w:trHeight w:hRule="exact" w:val="1826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0"/>
            </w:tblGrid>
            <w:tr>
              <w:trPr>
                <w:trHeight w:hRule="exact" w:val="1826"/>
              </w:trPr>
              <w:tc>
                <w:tcPr>
                  <w:tcW w:type="dxa" w:w="10800"/>
                  <w:tcBorders/>
                  <w:shd w:fill="fbf7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6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Студентам, зачисленным на полное государственное обеспечение, предоставляются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Мы используем файлы cookies для улучшения работы сайта НИУ ВШЭ и большего удобства его использования.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300" w:right="0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следующие гарантии по социальной поддержке: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 xml:space="preserve">Более подробную информацию об использовании файлов cookies можно найти 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7AC5"/>
                      <w:sz w:val="18"/>
                    </w:rPr>
                    <w:hyperlink r:id="rId15" w:history="1">
                      <w:r>
                        <w:rPr>
                          <w:rStyle w:val="Hyperlink"/>
                        </w:rPr>
                        <w:t>здесь</w:t>
                      </w:r>
                    </w:hyperlink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, наши правила обработки</w:t>
                  </w:r>
                </w:p>
                <w:p>
                  <w:pPr>
                    <w:autoSpaceDN w:val="0"/>
                    <w:tabs>
                      <w:tab w:pos="1692" w:val="left"/>
                      <w:tab w:pos="10426" w:val="left"/>
                    </w:tabs>
                    <w:autoSpaceDE w:val="0"/>
                    <w:widowControl/>
                    <w:spacing w:line="295" w:lineRule="auto" w:before="0" w:after="0"/>
                    <w:ind w:left="300" w:right="0" w:firstLine="0"/>
                    <w:jc w:val="left"/>
                  </w:pP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– компенсация расходов на п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hyperlink r:id="rId16" w:history="1">
                      <w:r>
                        <w:rPr>
                          <w:rStyle w:val="Hyperlink"/>
                        </w:rPr>
                        <w:t>итан</w:t>
                      </w:r>
                    </w:hyperlink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ие (производится ежемесячно);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 xml:space="preserve">персональных данных – 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7AC5"/>
                      <w:sz w:val="18"/>
                    </w:rPr>
                    <w:hyperlink r:id="rId16" w:history="1">
                      <w:r>
                        <w:rPr>
                          <w:rStyle w:val="Hyperlink"/>
                        </w:rPr>
                        <w:t>здесь</w:t>
                      </w:r>
                    </w:hyperlink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. Продолжая пользоваться сайтом, вы подтверждаете, что были</w:t>
                  </w:r>
                  <w:r>
                    <w:rPr>
                      <w:rFonts w:ascii="Segoe UI Symbol" w:hAnsi="Segoe UI Symbol" w:eastAsia="Segoe UI Symbol"/>
                      <w:b w:val="0"/>
                      <w:i w:val="0"/>
                      <w:color w:val="333333"/>
                      <w:sz w:val="18"/>
                    </w:rPr>
                    <w:t>✖</w:t>
                  </w:r>
                </w:p>
                <w:p>
                  <w:pPr>
                    <w:autoSpaceDN w:val="0"/>
                    <w:tabs>
                      <w:tab w:pos="1210" w:val="left"/>
                      <w:tab w:pos="1344" w:val="left"/>
                    </w:tabs>
                    <w:autoSpaceDE w:val="0"/>
                    <w:widowControl/>
                    <w:spacing w:line="245" w:lineRule="auto" w:before="0" w:after="0"/>
                    <w:ind w:left="300" w:right="288" w:firstLine="0"/>
                    <w:jc w:val="left"/>
                  </w:pPr>
                  <w:r>
                    <w:tab/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проинформированы об использовании файлов cookies сайтом НИУ ВШЭ и согласны с нашими правилами</w:t>
                  </w:r>
                  <w:r>
                    <w:rPr>
                      <w:w w:val="98.07692307692307"/>
                      <w:rFonts w:ascii="HSE Sans" w:hAnsi="HSE Sans" w:eastAsia="HSE Sans"/>
                      <w:b w:val="0"/>
                      <w:i w:val="0"/>
                      <w:color w:val="000000"/>
                      <w:sz w:val="26"/>
                    </w:rPr>
                    <w:t>– компенсация расходов на приобретение одежды, обуви и мягкого инвентаря (годовая</w:t>
                  </w:r>
                  <w:r>
                    <w:rPr>
                      <w:rFonts w:ascii="HSE Sans" w:hAnsi="HSE Sans" w:eastAsia="HSE Sans"/>
                      <w:b w:val="0"/>
                      <w:i w:val="0"/>
                      <w:color w:val="000000"/>
                      <w:sz w:val="18"/>
                    </w:rPr>
                    <w:t>обработки персональных данных. Вы можете отключить файлы cookies в настройках Вашего браузера.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724" w:after="0"/>
        <w:ind w:left="300" w:right="288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сумма распределяется по месяцам и выплачивается один раз в три месяца);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пособие на приобретение учебной литературы и письменных принадлежностей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(производится один раз в начале учебного года не позднее 1 ноября);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предоставление жилого помещения в общежитии НИУ ВШЭ;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– дополнительные меры по социальной защите: 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1) денежная компенсация проезда на  городском, пригородном транспорте (кроме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такси) от места проживания до места учебы и обратно (производится ежемесячно);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2) денежная компенсация проезда к месту жительства и обратно к  месту учёбы (один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раз в год) </w:t>
      </w:r>
      <w:r>
        <w:rPr>
          <w:w w:val="98.07692307692307"/>
          <w:rFonts w:ascii="HSE Sans" w:hAnsi="HSE Sans" w:eastAsia="HSE Sans"/>
          <w:b w:val="0"/>
          <w:i/>
          <w:color w:val="000000"/>
          <w:sz w:val="26"/>
          <w:u w:val="single"/>
        </w:rPr>
        <w:t>при предъявлении проездных документов (билетов) в течение месяца,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 xml:space="preserve">следующего за месяцем проезда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-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заявление</w:t>
          </w:r>
        </w:hyperlink>
      </w:r>
    </w:p>
    <w:p>
      <w:pPr>
        <w:autoSpaceDN w:val="0"/>
        <w:autoSpaceDE w:val="0"/>
        <w:widowControl/>
        <w:spacing w:line="262" w:lineRule="auto" w:before="450" w:after="0"/>
        <w:ind w:left="300" w:right="288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t xml:space="preserve">Размер денежных 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средств 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устанавливается ежегодно в соответствии с нормативными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правовыми актами Российской Федерации.</w:t>
      </w:r>
    </w:p>
    <w:p>
      <w:pPr>
        <w:autoSpaceDN w:val="0"/>
        <w:autoSpaceDE w:val="0"/>
        <w:widowControl/>
        <w:spacing w:line="240" w:lineRule="auto" w:before="43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Для оформления полного государственного обеспечения необходимо обратиться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6885940</wp:posOffset>
            </wp:positionH>
            <wp:positionV relativeFrom="page">
              <wp:posOffset>3962400</wp:posOffset>
            </wp:positionV>
            <wp:extent cx="190500" cy="171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46" w:after="0"/>
        <w:ind w:left="300" w:right="288" w:firstLine="0"/>
        <w:jc w:val="left"/>
      </w:pP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Факультетскую комиссию по социальным вопросам обучающихся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на факультете/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образовательной программе, оформить 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заявление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 и приложить следующие документы: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свидетельство о рождении студента (копия);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документ, удостоверяющий личность (копия 2 и 3 страницы, страница с регистрацией);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свидетельство о смерти родителей (либо документ, подтверждающий назначение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опеки над несовершеннолетним, оставшимся без попечения родителей, иные документы,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подтверждающие отсутствие родителей или невозможность воспитания ими своих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детей) (копия);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в случае несовпадения фамилий родителей с данными свидетельства о рождении –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документ, подтверждающий смену фамилии (копия);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– постановление/ справка из органов социальной защиты населения о прекращении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выплаты ежемесячного пособия.</w:t>
      </w:r>
    </w:p>
    <w:p>
      <w:pPr>
        <w:autoSpaceDN w:val="0"/>
        <w:autoSpaceDE w:val="0"/>
        <w:widowControl/>
        <w:spacing w:line="266" w:lineRule="auto" w:before="45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предоставлении студентам-сиротам академического отпуска по медицинским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показаниям, отпуска по беременности и родам, отпуска по уходу за ребенком до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достижения им возраста трех лет за ними на весь период данных отпусков сохраняется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полное государственное обеспечение и выплачивается государственная социальная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стипендия.</w:t>
      </w:r>
    </w:p>
    <w:p>
      <w:pPr>
        <w:autoSpaceDN w:val="0"/>
        <w:autoSpaceDE w:val="0"/>
        <w:widowControl/>
        <w:spacing w:line="266" w:lineRule="auto" w:before="45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 завершении  обучения студентам-сиротам выплачивается денежная компенсация на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приобретение одежды, обуви,  мягкого инвентаря и оборудования и единовременное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денежное пособие в размере не менее  пятисот рублей. Выплата производится в течение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месяца после издания приказа об отчислении в связи с получением образования.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724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Данная гарантия не распространяется на студентов-сирот, продолжающих обучение по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очной форме обучения по основным образовательным программам за счет средств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федерального бюджета.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10045700</wp:posOffset>
            </wp:positionV>
            <wp:extent cx="8382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6686550</wp:posOffset>
            </wp:positionV>
            <wp:extent cx="6858000" cy="40068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6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272" w:after="600"/>
        <w:ind w:left="300" w:right="28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 вопросам получения выплат по приказу Вы можете обратиться по адресу электронной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почты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2" w:history="1">
          <w:r>
            <w:rPr>
              <w:rStyle w:val="Hyperlink"/>
            </w:rPr>
            <w:t>std@hse.ru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510"/>
        </w:trPr>
        <w:tc>
          <w:tcPr>
            <w:tcW w:type="dxa" w:w="280"/>
            <w:tcBorders>
              <w:top w:sz="5.599999999999909" w:val="single" w:color="#E1E1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rPr>
                <w:u w:val="single" w:color="999999"/>
                <w:w w:val="102.33333375718858"/>
                <w:rFonts w:ascii="HSE Sans" w:hAnsi="HSE Sans" w:eastAsia="HSE Sans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920"/>
            <w:tcBorders>
              <w:top w:sz="5.599999999999909" w:val="single" w:color="#E1E1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10" w:right="0" w:firstLine="0"/>
              <w:jc w:val="both"/>
            </w:pPr>
            <w:r>
              <w:rPr>
                <w:w w:val="97.5"/>
                <w:rFonts w:ascii="HSE Sans" w:hAnsi="HSE Sans" w:eastAsia="HSE Sans"/>
                <w:b w:val="0"/>
                <w:i w:val="0"/>
                <w:color w:val="000000"/>
                <w:sz w:val="20"/>
              </w:rPr>
              <w:t>В соответствии с Федеральным законом от 21 декабря 1996 г. N 159-ФЗ "О дополнительных гарантиях по</w:t>
            </w:r>
            <w:r>
              <w:rPr>
                <w:w w:val="97.5"/>
                <w:rFonts w:ascii="HSE Sans" w:hAnsi="HSE Sans" w:eastAsia="HSE Sans"/>
                <w:b w:val="0"/>
                <w:i w:val="0"/>
                <w:color w:val="000000"/>
                <w:sz w:val="20"/>
              </w:rPr>
              <w:t>социальной поддержке детей-сирот и детей, оставшихся без попечения родителей", Приказом Управления</w:t>
            </w:r>
            <w:r>
              <w:rPr>
                <w:w w:val="97.5"/>
                <w:rFonts w:ascii="HSE Sans" w:hAnsi="HSE Sans" w:eastAsia="HSE Sans"/>
                <w:b w:val="0"/>
                <w:i w:val="0"/>
                <w:color w:val="000000"/>
                <w:sz w:val="20"/>
              </w:rPr>
              <w:t>делами Президента Российской Федерации от 18 сентября 2012 г. № 505 «Об осуществлении федеральными</w:t>
            </w:r>
            <w:r>
              <w:rPr>
                <w:w w:val="97.5"/>
                <w:rFonts w:ascii="HSE Sans" w:hAnsi="HSE Sans" w:eastAsia="HSE Sans"/>
                <w:b w:val="0"/>
                <w:i w:val="0"/>
                <w:color w:val="000000"/>
                <w:sz w:val="20"/>
              </w:rPr>
              <w:t>государственными образовательными учреждениями полномочий Управления делами Президента Российской</w:t>
            </w:r>
            <w:r>
              <w:rPr>
                <w:w w:val="97.5"/>
                <w:rFonts w:ascii="HSE Sans" w:hAnsi="HSE Sans" w:eastAsia="HSE Sans"/>
                <w:b w:val="0"/>
                <w:i w:val="0"/>
                <w:color w:val="000000"/>
                <w:sz w:val="20"/>
              </w:rPr>
              <w:t>Федерации по исполнению публичных обязательств».</w:t>
            </w:r>
          </w:p>
        </w:tc>
      </w:tr>
    </w:tbl>
    <w:p>
      <w:pPr>
        <w:autoSpaceDN w:val="0"/>
        <w:autoSpaceDE w:val="0"/>
        <w:widowControl/>
        <w:spacing w:line="240" w:lineRule="auto" w:before="110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3860800</wp:posOffset>
            </wp:positionV>
            <wp:extent cx="495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4241800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4752340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44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92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3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Школе дизайна НИУ ВШЭ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-3009900</wp:posOffset>
            </wp:positionV>
            <wp:extent cx="6858000" cy="1562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21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social_scholarship_new" TargetMode="External"/><Relationship Id="rId12" Type="http://schemas.openxmlformats.org/officeDocument/2006/relationships/hyperlink" Target="https://www.hse.ru/scholarships/stud_finsupport" TargetMode="External"/><Relationship Id="rId13" Type="http://schemas.openxmlformats.org/officeDocument/2006/relationships/hyperlink" Target="https://www.hse.ru/dormitory/" TargetMode="External"/><Relationship Id="rId14" Type="http://schemas.openxmlformats.org/officeDocument/2006/relationships/hyperlink" Target="https://www.hse.ru/docs/949624682.html" TargetMode="External"/><Relationship Id="rId15" Type="http://schemas.openxmlformats.org/officeDocument/2006/relationships/hyperlink" Target="https://www.hse.ru/cookie.html" TargetMode="External"/><Relationship Id="rId16" Type="http://schemas.openxmlformats.org/officeDocument/2006/relationships/hyperlink" Target="https://www.hse.ru/data_protection_regulation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disk.360.yandex.ru/i/cTBKiUuM7gUKFw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www.hse.ru/data/2025/12/02/141046253/%D0%9A%D1%83%D1%80%D0%B0%D1%82%D0%BE%D1%80%D1%8B_%D1%81%D0%BE%D1%86_%D0%BE%D0%B1%D0%B5%D1%81%D0%BF%D0%B5%D1%87%D0%B5%D0%BD%D0%B8%D0%B5%20_%202025.pdf" TargetMode="External"/><Relationship Id="rId21" Type="http://schemas.openxmlformats.org/officeDocument/2006/relationships/hyperlink" Target="https://disk.360.yandex.ru/i/lK-L4NLkU58vHw" TargetMode="External"/><Relationship Id="rId22" Type="http://schemas.openxmlformats.org/officeDocument/2006/relationships/hyperlink" Target="mailto:std@hse.ru" TargetMode="External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image" Target="media/image6.png"/><Relationship Id="rId42" Type="http://schemas.openxmlformats.org/officeDocument/2006/relationships/image" Target="media/image7.png"/><Relationship Id="rId43" Type="http://schemas.openxmlformats.org/officeDocument/2006/relationships/hyperlink" Target="https://www.hse.ru/adm/edit/edit.html?goto=%2AL3NjaG9sYXJzaGlwcy9vcnBoYW5zP19yPTI4MDkxOTcxNzc0NzAzNTE2LjYwMjg3%5E&amp;id=138673205&amp;cid=20594&amp;addon_name=default&amp;newportal=1" TargetMode="External"/><Relationship Id="rId44" Type="http://schemas.openxmlformats.org/officeDocument/2006/relationships/hyperlink" Target="https://www.hse.ru/contacts.html" TargetMode="External"/><Relationship Id="rId45" Type="http://schemas.openxmlformats.org/officeDocument/2006/relationships/hyperlink" Target="https://www.hse.ru/copyright" TargetMode="External"/><Relationship Id="rId46" Type="http://schemas.openxmlformats.org/officeDocument/2006/relationships/hyperlink" Target="https://www.hse.ru/sitemap.html" TargetMode="External"/><Relationship Id="rId47" Type="http://schemas.openxmlformats.org/officeDocument/2006/relationships/hyperlink" Target="https://design.hse.ru/" TargetMode="External"/><Relationship Id="rId4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