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ПРАВИТЕЛЬСТВО РОССИЙСКОЙ ФЕДЕРАЦИИ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ФЕДЕРАЛЬНОЕ ГОСУДАРСТВЕННОЕ АВТОНОМНОЕ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ОБРАЗОВАТЕЛЬНОЕ УЧРЕЖДЕНИЕ ВЫСШЕГО ОБРАЗОВАНИЯ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НАЦИОНАЛЬНЫЙ ИССЛЕДОВАТЕЛЬСКИЙ УНИВЕРСИТЕТ</w:t>
      </w:r>
    </w:p>
    <w:p>
      <w:pPr>
        <w:spacing w:after="24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«ВЫСШАЯ ШКОЛА ЭКОНОМИКИ»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Факультет компьютерных наук</w:t>
      </w:r>
    </w:p>
    <w:p>
      <w:pPr>
        <w:spacing w:after="48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Образовательная программа «Программная инженерия»</w:t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Цифровой Ассистент Студента: клиентская часть</w:t>
      </w:r>
    </w:p>
    <w:p>
      <w:pPr>
        <w:spacing w:after="480"/>
        <w:jc w:val="center"/>
      </w:pPr>
      <w:r>
        <w:rPr>
          <w:rFonts w:ascii="Times New Roman" w:cs="Times New Roman" w:eastAsia="Times New Roman" w:hAnsi="Times New Roman"/>
          <w:b/>
          <w:bCs/>
          <w:caps/>
          <w:sz w:val="28"/>
          <w:szCs w:val="28"/>
        </w:rPr>
        <w:t xml:space="preserve">РУКОВОДСТВО ОПЕРАТОРА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Студент группы БПИ236:</w:t>
      </w:r>
    </w:p>
    <w:p>
      <w:pPr>
        <w:spacing w:after="48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Радионов Никита Дмитриевич</w:t>
      </w:r>
    </w:p>
    <w:p>
      <w:pPr>
        <w:spacing w:after="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Москва 2026</w:t>
      </w:r>
    </w:p>
    <w:p>
      <w:pPr>
        <w:pageBreakBefore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20" w:before="240"/>
        <w:jc w:val="center"/>
      </w:pPr>
      <w:r>
        <w:rPr>
          <w:rFonts w:ascii="Times New Roman" w:cs="Times New Roman" w:eastAsia="Times New Roman" w:hAnsi="Times New Roman"/>
          <w:b/>
          <w:bCs/>
          <w:caps/>
          <w:sz w:val="28"/>
          <w:szCs w:val="28"/>
        </w:rPr>
        <w:t xml:space="preserve">АННОТАЦИЯ</w:t>
      </w:r>
    </w:p>
    <w:p>
      <w:pPr>
        <w:spacing w:after="12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Настоящее руководство оператора содержит сведения, необходимые для обеспечения функционирования клиентской части системы «Цифровой Ассистент Студента» — веб-интерфейса платформы управления студенческими проектами НИУ ВШЭ.</w:t>
      </w:r>
    </w:p>
    <w:p>
      <w:pPr>
        <w:spacing w:after="12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Документ предназначен для операторов (системных администраторов и технических специалистов), выполняющих развёртывание, запуск и сопровождение приложения. В документе описаны условия эксплуатации, порядок запуска и завершения программы, а также перечень сообщений, выдаваемых в процессе работы.</w:t>
      </w:r>
    </w:p>
    <w:p>
      <w:pPr>
        <w:spacing w:after="12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Оформление и содержание документа соответствует требованиям ГОСТ 19.505-79 «Единая система программной документации. Руководство оператора. Требования к содержанию и оформлению».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20" w:before="240"/>
        <w:jc w:val="center"/>
      </w:pPr>
      <w:r>
        <w:rPr>
          <w:rFonts w:ascii="Times New Roman" w:cs="Times New Roman" w:eastAsia="Times New Roman" w:hAnsi="Times New Roman"/>
          <w:b/>
          <w:bCs/>
          <w:caps/>
          <w:sz w:val="28"/>
          <w:szCs w:val="28"/>
        </w:rPr>
        <w:t xml:space="preserve">1 НАЗНАЧЕНИЕ ПРОГРАММЫ</w:t>
      </w:r>
    </w:p>
    <w:p>
      <w:pPr>
        <w:spacing w:after="80" w:before="200"/>
        <w:ind w:firstLine="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1.1 Функциональное назначение</w:t>
      </w:r>
    </w:p>
    <w:p>
      <w:pPr>
        <w:spacing w:after="12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Клиентская часть системы «Цифровой Ассистент Студента» реализует серверный рендеринг (SSR) веб-интерфейса на основе Django, обеспечивающего пользователям трёх ролей следующие функциональные возможности:</w:t>
      </w:r>
    </w:p>
    <w:p>
      <w:pPr>
        <w:spacing w:after="80"/>
        <w:ind w:left="720" w:hanging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– студентам — просмотр каталога проектов с поиском и фильтрацией, получение персональных рекомендаций на основе интересов, управление закладками, подача заявок на проекты, отслеживание статусов заявок, редактирование профиля, подача инициативных проектов;</w:t>
      </w:r>
    </w:p>
    <w:p>
      <w:pPr>
        <w:spacing w:after="80"/>
        <w:ind w:left="720" w:hanging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– заказчикам (преподавателям) — создание и редактирование карточек проектов, управление статусами проектов, просмотр и обработка заявок студентов, просмотр публикаций и профилей научных сотрудников;</w:t>
      </w:r>
    </w:p>
    <w:p>
      <w:pPr>
        <w:spacing w:after="80"/>
        <w:ind w:left="720" w:hanging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– модераторам (сотрудникам ЦППРП) — просмотр очереди проектов на модерации, принятие решений об одобрении или отклонении с обязательным комментарием.</w:t>
      </w:r>
    </w:p>
    <w:p>
      <w:pPr>
        <w:spacing w:after="80" w:before="200"/>
        <w:ind w:firstLine="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1.2 Эксплуатационное назначение</w:t>
      </w:r>
    </w:p>
    <w:p>
      <w:pPr>
        <w:spacing w:after="12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Программа предназначена для эксплуатации в качестве веб-приложения, доступного через стандартные браузеры без установки дополнительного программного обеспечения на стороне пользователя. Взаимодействие пользователей осуществляется через HTTP/HTTPS. Сервер обрабатывает запросы, формирует HTML-страницы и возвращает их браузеру.</w:t>
      </w:r>
    </w:p>
    <w:p>
      <w:pPr>
        <w:spacing w:after="12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Программа предназначена для использования на платформе НИУ ВШЭ в период проектной деятельности студентов.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20" w:before="240"/>
        <w:jc w:val="center"/>
      </w:pPr>
      <w:r>
        <w:rPr>
          <w:rFonts w:ascii="Times New Roman" w:cs="Times New Roman" w:eastAsia="Times New Roman" w:hAnsi="Times New Roman"/>
          <w:b/>
          <w:bCs/>
          <w:caps/>
          <w:sz w:val="28"/>
          <w:szCs w:val="28"/>
        </w:rPr>
        <w:t xml:space="preserve">2 УСЛОВИЯ ВЫПОЛНЕНИЯ ПРОГРАММЫ</w:t>
      </w:r>
    </w:p>
    <w:p>
      <w:pPr>
        <w:spacing w:after="80" w:before="200"/>
        <w:ind w:firstLine="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2.1 Минимальный состав технических средств</w:t>
      </w:r>
    </w:p>
    <w:p>
      <w:pPr>
        <w:spacing w:after="12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Для развёртывания и запуска серверной части требуется оборудование со следующими характеристиками:</w:t>
      </w:r>
    </w:p>
    <w:p>
      <w:pPr>
        <w:spacing w:after="80"/>
        <w:ind w:left="720" w:hanging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– центральный процессор с архитектурой x86-64, тактовая частота не менее 2,0 ГГц, не менее 2 ядер;</w:t>
      </w:r>
    </w:p>
    <w:p>
      <w:pPr>
        <w:spacing w:after="80"/>
        <w:ind w:left="720" w:hanging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– оперативная память — не менее 4 ГБ;</w:t>
      </w:r>
    </w:p>
    <w:p>
      <w:pPr>
        <w:spacing w:after="80"/>
        <w:ind w:left="720" w:hanging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– свободное дисковое пространство — не менее 5 ГБ;</w:t>
      </w:r>
    </w:p>
    <w:p>
      <w:pPr>
        <w:spacing w:after="80"/>
        <w:ind w:left="720" w:hanging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– сетевое подключение — стабильное соединение с сетью Интернет.</w:t>
      </w:r>
    </w:p>
    <w:p>
      <w:pPr>
        <w:spacing w:after="12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Для клиентских рабочих мест достаточно любого устройства с современным браузером и доступом к сети.</w:t>
      </w:r>
    </w:p>
    <w:p>
      <w:pPr>
        <w:spacing w:after="80" w:before="200"/>
        <w:ind w:firstLine="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2.2 Минимальный состав программных средств</w:t>
      </w:r>
    </w:p>
    <w:p>
      <w:pPr>
        <w:spacing w:after="12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Для запуска приложения в режиме Docker Compose (рекомендуется):</w:t>
      </w:r>
    </w:p>
    <w:p>
      <w:pPr>
        <w:spacing w:after="80"/>
        <w:ind w:left="720" w:hanging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– операционная система: Linux (Ubuntu 20.04+), Windows 10/11 или macOS 12+;</w:t>
      </w:r>
    </w:p>
    <w:p>
      <w:pPr>
        <w:spacing w:after="80"/>
        <w:ind w:left="720" w:hanging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– Docker версии 24.0 и выше;</w:t>
      </w:r>
    </w:p>
    <w:p>
      <w:pPr>
        <w:spacing w:after="80"/>
        <w:ind w:left="720" w:hanging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– Docker Compose версии 2.20 и выше;</w:t>
      </w:r>
    </w:p>
    <w:p>
      <w:pPr>
        <w:spacing w:after="80"/>
        <w:ind w:left="720" w:hanging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– заполненный файл .env (на основе .env.example).</w:t>
      </w:r>
    </w:p>
    <w:p>
      <w:pPr>
        <w:spacing w:after="12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Для запуска в режиме локальной разработки дополнительно требуются:</w:t>
      </w:r>
    </w:p>
    <w:p>
      <w:pPr>
        <w:spacing w:after="80"/>
        <w:ind w:left="720" w:hanging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– Python 3.12 и выше;</w:t>
      </w:r>
    </w:p>
    <w:p>
      <w:pPr>
        <w:spacing w:after="80"/>
        <w:ind w:left="720" w:hanging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– менеджер пакетов uv;</w:t>
      </w:r>
    </w:p>
    <w:p>
      <w:pPr>
        <w:spacing w:after="80"/>
        <w:ind w:left="720" w:hanging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– PostgreSQL 16 (или совместимая СУБД).</w:t>
      </w:r>
    </w:p>
    <w:p>
      <w:pPr>
        <w:spacing w:after="12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Для клиентских рабочих мест: браузер Google Chrome 90+, Mozilla Firefox 90+, Microsoft Edge 90+, Opera 76+ или Яндекс.Браузер 21+.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20" w:before="240"/>
        <w:jc w:val="center"/>
      </w:pPr>
      <w:r>
        <w:rPr>
          <w:rFonts w:ascii="Times New Roman" w:cs="Times New Roman" w:eastAsia="Times New Roman" w:hAnsi="Times New Roman"/>
          <w:b/>
          <w:bCs/>
          <w:caps/>
          <w:sz w:val="28"/>
          <w:szCs w:val="28"/>
        </w:rPr>
        <w:t xml:space="preserve">3 ВЫПОЛНЕНИЕ ПРОГРАММЫ</w:t>
      </w:r>
    </w:p>
    <w:p>
      <w:pPr>
        <w:spacing w:after="80" w:before="200"/>
        <w:ind w:firstLine="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3.1 Загрузка программы</w:t>
      </w:r>
    </w:p>
    <w:p>
      <w:pPr>
        <w:spacing w:after="12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Для загрузки программы необходимо:</w:t>
      </w:r>
    </w:p>
    <w:p>
      <w:pPr>
        <w:spacing w:after="80"/>
        <w:ind w:left="720" w:hanging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– склонировать репозиторий командой: git clone https://github.com/krevetka-is-afk/Digital-Student-Assistant.git;</w:t>
      </w:r>
    </w:p>
    <w:p>
      <w:pPr>
        <w:spacing w:after="80"/>
        <w:ind w:left="720" w:hanging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– перейти в директорию infra/;</w:t>
      </w:r>
    </w:p>
    <w:p>
      <w:pPr>
        <w:spacing w:after="80"/>
        <w:ind w:left="720" w:hanging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– скопировать файл src/web/.env.example в src/web/.env и заполнить переменные окружения (параметры подключения к базе данных, секретный ключ Django, адреса ML-сервиса и Graph-сервиса).</w:t>
      </w:r>
    </w:p>
    <w:p>
      <w:pPr>
        <w:spacing w:after="80" w:before="200"/>
        <w:ind w:firstLine="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3.2 Запуск программы</w:t>
      </w:r>
    </w:p>
    <w:p>
      <w:pPr>
        <w:spacing w:after="12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Запуск в режиме Docker Compose (рекомендуется для эксплуатации):</w:t>
      </w:r>
    </w:p>
    <w:p>
      <w:pPr>
        <w:spacing w:after="80"/>
        <w:ind w:left="720" w:hanging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– выполнить команду: docker compose -f infra/docker-compose.yml --profile dev up --build</w:t>
      </w:r>
    </w:p>
    <w:p>
      <w:pPr>
        <w:spacing w:after="80"/>
        <w:ind w:left="720" w:hanging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– после успешного запуска веб-интерфейс доступен по адресу: http://127.0.0.1:8000/</w:t>
      </w:r>
    </w:p>
    <w:p>
      <w:pPr>
        <w:spacing w:after="80"/>
        <w:ind w:left="720" w:hanging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– каталог проектов доступен по адресу: http://127.0.0.1:8000/projects/</w:t>
      </w:r>
    </w:p>
    <w:p>
      <w:pPr>
        <w:spacing w:after="12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Запуск в режиме локальной разработки:</w:t>
      </w:r>
    </w:p>
    <w:p>
      <w:pPr>
        <w:spacing w:after="80"/>
        <w:ind w:left="720" w:hanging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– перейти в директорию src/web/;</w:t>
      </w:r>
    </w:p>
    <w:p>
      <w:pPr>
        <w:spacing w:after="80"/>
        <w:ind w:left="720" w:hanging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– выполнить команды: uv sync --group dev, затем uv run python manage.py migrate;</w:t>
      </w:r>
    </w:p>
    <w:p>
      <w:pPr>
        <w:spacing w:after="80"/>
        <w:ind w:left="720" w:hanging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– запустить сервер командой: uv run python manage.py runserver --settings=config.settings.dev</w:t>
      </w:r>
    </w:p>
    <w:p>
      <w:pPr>
        <w:spacing w:after="12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После запуска в консоли отображаются логи HTTP-запросов и сообщения Django о состоянии сервера.</w:t>
      </w:r>
    </w:p>
    <w:p>
      <w:pPr>
        <w:spacing w:after="80" w:before="200"/>
        <w:ind w:firstLine="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3.3 Завершение программы</w:t>
      </w:r>
    </w:p>
    <w:p>
      <w:pPr>
        <w:spacing w:after="12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Для корректного завершения работы приложения:</w:t>
      </w:r>
    </w:p>
    <w:p>
      <w:pPr>
        <w:spacing w:after="80"/>
        <w:ind w:left="720" w:hanging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– в режиме Docker Compose — выполнить команду: docker compose -f infra/docker-compose.yml down</w:t>
      </w:r>
    </w:p>
    <w:p>
      <w:pPr>
        <w:spacing w:after="80"/>
        <w:ind w:left="720" w:hanging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– в режиме локальной разработки — нажать сочетание клавиш Ctrl+C в терминале, в котором запущен сервер.</w:t>
      </w:r>
    </w:p>
    <w:p>
      <w:pPr>
        <w:spacing w:after="12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После завершения работы все активные HTTP-соединения закрываются, данные в базе сохраняются.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20" w:before="240"/>
        <w:jc w:val="center"/>
      </w:pPr>
      <w:r>
        <w:rPr>
          <w:rFonts w:ascii="Times New Roman" w:cs="Times New Roman" w:eastAsia="Times New Roman" w:hAnsi="Times New Roman"/>
          <w:b/>
          <w:bCs/>
          <w:caps/>
          <w:sz w:val="28"/>
          <w:szCs w:val="28"/>
        </w:rPr>
        <w:t xml:space="preserve">4 СООБЩЕНИЯ ОПЕРАТОРУ</w:t>
      </w:r>
    </w:p>
    <w:p>
      <w:pPr>
        <w:spacing w:after="12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В процессе работы программа выводит следующие типы сообщений:</w:t>
      </w:r>
    </w:p>
    <w:p>
      <w:pPr>
        <w:spacing w:after="80" w:before="200"/>
        <w:ind w:firstLine="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4.1 Информационные сообщения</w:t>
      </w:r>
    </w:p>
    <w:p>
      <w:pPr>
        <w:spacing w:after="12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При успешном запуске сервер выводит в консоль сообщения вида: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sz w:val="24"/>
          <w:szCs w:val="24"/>
        </w:rPr>
        <w:t xml:space="preserve">Starting development server at http://127.0.0.1:8000/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sz w:val="24"/>
          <w:szCs w:val="24"/>
        </w:rPr>
        <w:t xml:space="preserve">Quit the server with CTRL-BREAK.</w:t>
      </w:r>
    </w:p>
    <w:p>
      <w:pPr>
        <w:spacing w:after="12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В процессе работы каждый HTTP-запрос фиксируется в консоли с указанием метода, пути, кода ответа и времени обработки.</w:t>
      </w:r>
    </w:p>
    <w:p>
      <w:pPr>
        <w:spacing w:after="80" w:before="200"/>
        <w:ind w:firstLine="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4.2 Сообщения об ошибках</w:t>
      </w:r>
    </w:p>
    <w:p>
      <w:pPr>
        <w:spacing w:after="12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При возникновении ошибок на стороне сервера пользователю отображается страница с кодом HTTP-статуса:</w:t>
      </w:r>
    </w:p>
    <w:p>
      <w:pPr>
        <w:spacing w:after="80"/>
        <w:ind w:left="720" w:hanging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– 400 Bad Request — некорректный запрос, ошибка валидации введённых данных;</w:t>
      </w:r>
    </w:p>
    <w:p>
      <w:pPr>
        <w:spacing w:after="80"/>
        <w:ind w:left="720" w:hanging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– 403 Forbidden — попытка доступа к ресурсу без необходимых прав;</w:t>
      </w:r>
    </w:p>
    <w:p>
      <w:pPr>
        <w:spacing w:after="80"/>
        <w:ind w:left="720" w:hanging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– 404 Not Found — запрошенный ресурс не найден;</w:t>
      </w:r>
    </w:p>
    <w:p>
      <w:pPr>
        <w:spacing w:after="80"/>
        <w:ind w:left="720" w:hanging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– 500 Internal Server Error — внутренняя ошибка сервера.</w:t>
      </w:r>
    </w:p>
    <w:p>
      <w:pPr>
        <w:spacing w:after="12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При отключении ML-сервиса рекомендаций система автоматически переключается на резервный алгоритм подбора по ключевым словам. Пользователю сообщения об этом не выводятся, функциональность рекомендаций сохраняется.</w:t>
      </w:r>
    </w:p>
    <w:p>
      <w:pPr>
        <w:spacing w:after="12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Все ошибки уровня WARNING и выше фиксируются в системных логах Django. При работе в режиме DEBUG=False (production) подробные трассировки ошибок не отображаются пользователям.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20" w:before="240"/>
        <w:jc w:val="center"/>
      </w:pPr>
      <w:r>
        <w:rPr>
          <w:rFonts w:ascii="Times New Roman" w:cs="Times New Roman" w:eastAsia="Times New Roman" w:hAnsi="Times New Roman"/>
          <w:b/>
          <w:bCs/>
          <w:caps/>
          <w:sz w:val="28"/>
          <w:szCs w:val="28"/>
        </w:rPr>
        <w:t xml:space="preserve">СПИСОК ИСПОЛЬЗУЕМОЙ ЛИТЕРАТУРЫ</w:t>
      </w:r>
    </w:p>
    <w:p>
      <w:pPr>
        <w:spacing w:after="80"/>
        <w:ind w:firstLin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 ГОСТ 19.505-79: Руководство оператора. Требования к содержанию и оформлению. // Единая система программной документации. – М.: ИПК Издательство стандартов, 2001.</w:t>
      </w:r>
    </w:p>
    <w:p>
      <w:pPr>
        <w:spacing w:after="80"/>
        <w:ind w:firstLin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 ГОСТ 19.106-78: Требования к программным документам, выполненным печатным способом. // Единая система программной документации. – М.: ИПК Издательство стандартов, 2001.</w:t>
      </w:r>
    </w:p>
    <w:p>
      <w:pPr>
        <w:spacing w:after="80"/>
        <w:ind w:firstLin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 ГОСТ 19.101-77: Виды программ и программных документов. // Единая система программной документации. – М.: ИПК Издательство стандартов, 2001.</w:t>
      </w:r>
    </w:p>
    <w:p>
      <w:pPr>
        <w:spacing w:after="80"/>
        <w:ind w:firstLin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4. Документация по Django. URL: https://docs.djangoproject.com/</w:t>
      </w:r>
    </w:p>
    <w:p>
      <w:pPr>
        <w:spacing w:after="80"/>
        <w:ind w:firstLin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5. Документация по Docker. URL: https://docs.docker.com/</w:t>
      </w:r>
    </w:p>
    <w:sectPr>
      <w:headerReference w:type="default" r:id="rId7"/>
      <w:footerReference w:type="default" r:id="rId8"/>
      <w:pgSz w:w="11906" w:h="16838" w:orient="portrait"/>
      <w:pgMar w:top="2000" w:right="1440" w:bottom="2000" w:left="28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2026-04-24T17:18:39.329Z</dcterms:created>
  <dcterms:modified xsi:type="dcterms:W3CDTF">2026-04-24T17:18:39.331Z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