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Captura de solicitudes en Mesa de Ayuda" w:id="1"/>
      <w:bookmarkEnd w:id="1"/>
      <w:r>
        <w:rPr/>
      </w:r>
      <w:bookmarkStart w:name="_bookmark0" w:id="2"/>
      <w:bookmarkEnd w:id="2"/>
      <w:r>
        <w:rPr/>
      </w:r>
      <w:r>
        <w:rPr>
          <w:color w:val="333333"/>
          <w:sz w:val="36"/>
        </w:rPr>
        <w:t>Captura de solicitudes en Mesa de Ayuda</w:t>
      </w:r>
    </w:p>
    <w:p>
      <w:pPr>
        <w:pStyle w:val="BodyText"/>
        <w:spacing w:before="204"/>
        <w:ind w:left="100"/>
      </w:pPr>
      <w:r>
        <w:rPr/>
        <w:t>Estas instrucciones indican como capturar, dar seguimiento y cierre a las solicitudes que se pueden crear para el soporte interno.</w:t>
      </w:r>
    </w:p>
    <w:p>
      <w:pPr>
        <w:pStyle w:val="BodyText"/>
        <w:spacing w:line="249" w:lineRule="auto" w:before="160"/>
        <w:ind w:left="100"/>
      </w:pPr>
      <w:r>
        <w:rPr/>
        <w:t>Se utiliza la herramienta Jira y la funcionalidad de Service Desk para la captura de solicitudes en el proyecto </w:t>
      </w:r>
      <w:r>
        <w:rPr>
          <w:b/>
        </w:rPr>
        <w:t>TGC Mesa de Ayuda </w:t>
      </w:r>
      <w:r>
        <w:rPr/>
        <w:t>que utiliza la funcionalidad de dicho complemento.</w:t>
      </w:r>
    </w:p>
    <w:p>
      <w:pPr>
        <w:pStyle w:val="BodyText"/>
        <w:ind w:left="0"/>
        <w:rPr>
          <w:sz w:val="18"/>
        </w:rPr>
      </w:pPr>
    </w:p>
    <w:p>
      <w:pPr>
        <w:pStyle w:val="BodyText"/>
        <w:ind w:left="0"/>
        <w:rPr>
          <w:sz w:val="18"/>
        </w:rPr>
      </w:pPr>
    </w:p>
    <w:p>
      <w:pPr>
        <w:pStyle w:val="Heading1"/>
      </w:pPr>
      <w:r>
        <w:rPr>
          <w:color w:val="333333"/>
        </w:rPr>
        <w:t>Guía paso a paso</w:t>
      </w:r>
    </w:p>
    <w:p>
      <w:pPr>
        <w:pStyle w:val="BodyText"/>
        <w:spacing w:before="1"/>
        <w:ind w:left="0"/>
        <w:rPr>
          <w:b/>
          <w:sz w:val="11"/>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Entrar al portal de Service Desk del proyecto: </w:t>
      </w:r>
      <w:hyperlink r:id="rId5">
        <w:r>
          <w:rPr>
            <w:color w:val="003366"/>
            <w:sz w:val="16"/>
          </w:rPr>
          <w:t>TGC Mesa de</w:t>
        </w:r>
        <w:r>
          <w:rPr>
            <w:color w:val="003366"/>
            <w:spacing w:val="-8"/>
            <w:sz w:val="16"/>
          </w:rPr>
          <w:t> </w:t>
        </w:r>
        <w:r>
          <w:rPr>
            <w:color w:val="003366"/>
            <w:sz w:val="16"/>
          </w:rPr>
          <w:t>Ayuda</w:t>
        </w:r>
      </w:hyperlink>
      <w:r>
        <w:rPr>
          <w:sz w:val="16"/>
        </w:rPr>
        <w:t>.</w:t>
      </w:r>
    </w:p>
    <w:p>
      <w:pPr>
        <w:pStyle w:val="ListParagraph"/>
        <w:numPr>
          <w:ilvl w:val="0"/>
          <w:numId w:val="1"/>
        </w:numPr>
        <w:tabs>
          <w:tab w:pos="700" w:val="left" w:leader="none"/>
        </w:tabs>
        <w:spacing w:line="240" w:lineRule="auto" w:before="8" w:after="0"/>
        <w:ind w:left="700" w:right="0" w:hanging="223"/>
        <w:jc w:val="left"/>
        <w:rPr>
          <w:sz w:val="16"/>
        </w:rPr>
      </w:pPr>
      <w:r>
        <w:rPr>
          <w:sz w:val="16"/>
        </w:rPr>
        <w:t>Seleccionar el tipo de solicitud adecuada dentro del grupo de</w:t>
      </w:r>
      <w:r>
        <w:rPr>
          <w:spacing w:val="-8"/>
          <w:sz w:val="16"/>
        </w:rPr>
        <w:t> </w:t>
      </w:r>
      <w:r>
        <w:rPr>
          <w:i/>
          <w:sz w:val="16"/>
        </w:rPr>
        <w:t>Solicitudes</w:t>
      </w:r>
      <w:r>
        <w:rPr>
          <w:sz w:val="16"/>
        </w:rPr>
        <w:t>.</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1152525</wp:posOffset>
            </wp:positionH>
            <wp:positionV relativeFrom="paragraph">
              <wp:posOffset>127739</wp:posOffset>
            </wp:positionV>
            <wp:extent cx="5286375" cy="34861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86375" cy="3486150"/>
                    </a:xfrm>
                    <a:prstGeom prst="rect">
                      <a:avLst/>
                    </a:prstGeom>
                  </pic:spPr>
                </pic:pic>
              </a:graphicData>
            </a:graphic>
          </wp:anchor>
        </w:drawing>
      </w:r>
    </w:p>
    <w:p>
      <w:pPr>
        <w:pStyle w:val="BodyText"/>
        <w:ind w:left="0"/>
        <w:rPr>
          <w:sz w:val="18"/>
        </w:rPr>
      </w:pPr>
    </w:p>
    <w:p>
      <w:pPr>
        <w:pStyle w:val="ListParagraph"/>
        <w:numPr>
          <w:ilvl w:val="0"/>
          <w:numId w:val="1"/>
        </w:numPr>
        <w:tabs>
          <w:tab w:pos="700" w:val="left" w:leader="none"/>
        </w:tabs>
        <w:spacing w:line="240" w:lineRule="auto" w:before="151" w:after="0"/>
        <w:ind w:left="700" w:right="0" w:hanging="223"/>
        <w:jc w:val="left"/>
        <w:rPr>
          <w:sz w:val="16"/>
        </w:rPr>
      </w:pPr>
      <w:r>
        <w:rPr>
          <w:sz w:val="16"/>
        </w:rPr>
        <w:t>En este momento se despliega la pantalla de</w:t>
      </w:r>
      <w:r>
        <w:rPr>
          <w:spacing w:val="-8"/>
          <w:sz w:val="16"/>
        </w:rPr>
        <w:t> </w:t>
      </w:r>
      <w:r>
        <w:rPr>
          <w:sz w:val="16"/>
        </w:rPr>
        <w:t>captura.</w:t>
      </w:r>
    </w:p>
    <w:p>
      <w:pPr>
        <w:pStyle w:val="ListParagraph"/>
        <w:numPr>
          <w:ilvl w:val="0"/>
          <w:numId w:val="1"/>
        </w:numPr>
        <w:tabs>
          <w:tab w:pos="700" w:val="left" w:leader="none"/>
        </w:tabs>
        <w:spacing w:line="240" w:lineRule="auto" w:before="8" w:after="0"/>
        <w:ind w:left="700" w:right="0" w:hanging="223"/>
        <w:jc w:val="left"/>
        <w:rPr>
          <w:sz w:val="16"/>
        </w:rPr>
      </w:pPr>
      <w:r>
        <w:rPr>
          <w:sz w:val="16"/>
        </w:rPr>
        <w:t>Llenar los campos</w:t>
      </w:r>
      <w:r>
        <w:rPr>
          <w:spacing w:val="-3"/>
          <w:sz w:val="16"/>
        </w:rPr>
        <w:t> </w:t>
      </w:r>
      <w:r>
        <w:rPr>
          <w:sz w:val="16"/>
        </w:rPr>
        <w:t>solicitados:</w:t>
      </w:r>
    </w:p>
    <w:p>
      <w:pPr>
        <w:spacing w:after="0" w:line="240" w:lineRule="auto"/>
        <w:jc w:val="left"/>
        <w:rPr>
          <w:sz w:val="16"/>
        </w:rPr>
        <w:sectPr>
          <w:type w:val="continuous"/>
          <w:pgSz w:w="12240" w:h="15840"/>
          <w:pgMar w:top="940" w:bottom="280" w:left="860" w:right="840"/>
        </w:sectPr>
      </w:pPr>
    </w:p>
    <w:p>
      <w:pPr>
        <w:pStyle w:val="BodyText"/>
        <w:ind w:left="715"/>
        <w:rPr>
          <w:sz w:val="20"/>
        </w:rPr>
      </w:pPr>
      <w:r>
        <w:rPr>
          <w:sz w:val="20"/>
        </w:rPr>
        <w:drawing>
          <wp:inline distT="0" distB="0" distL="0" distR="0">
            <wp:extent cx="3829050" cy="7467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829050" cy="7467600"/>
                    </a:xfrm>
                    <a:prstGeom prst="rect">
                      <a:avLst/>
                    </a:prstGeom>
                  </pic:spPr>
                </pic:pic>
              </a:graphicData>
            </a:graphic>
          </wp:inline>
        </w:drawing>
      </w:r>
      <w:r>
        <w:rPr>
          <w:sz w:val="20"/>
        </w:rPr>
      </w:r>
    </w:p>
    <w:p>
      <w:pPr>
        <w:pStyle w:val="BodyText"/>
        <w:ind w:left="0"/>
        <w:rPr>
          <w:sz w:val="20"/>
        </w:rPr>
      </w:pPr>
    </w:p>
    <w:p>
      <w:pPr>
        <w:pStyle w:val="BodyText"/>
        <w:ind w:left="0"/>
        <w:rPr>
          <w:sz w:val="19"/>
        </w:rPr>
      </w:pPr>
    </w:p>
    <w:p>
      <w:pPr>
        <w:pStyle w:val="BodyText"/>
      </w:pPr>
      <w:r>
        <w:rPr>
          <w:b/>
        </w:rPr>
        <w:t>Resumen: </w:t>
      </w:r>
      <w:r>
        <w:rPr/>
        <w:t>Redactar una descripción corta de la solicitud, la cual se va a convertir en el título del asunto a resolver.</w:t>
      </w:r>
    </w:p>
    <w:p>
      <w:pPr>
        <w:pStyle w:val="BodyText"/>
        <w:spacing w:line="249" w:lineRule="auto" w:before="161"/>
      </w:pPr>
      <w:r>
        <w:rPr>
          <w:b/>
        </w:rPr>
        <w:t>Descripción de la solicitud: </w:t>
      </w:r>
      <w:r>
        <w:rPr/>
        <w:t>Redactar una descripción detallada del asunto a resolver incluyendo, si aplica, los pasos para la reproducción del error. Este campo es opcional pero si se cuenta con la mayor información posible, la resolución de la solicitud puede demorar menos tiempo.</w:t>
      </w:r>
    </w:p>
    <w:p>
      <w:pPr>
        <w:spacing w:before="154"/>
        <w:ind w:left="700" w:right="0" w:firstLine="0"/>
        <w:jc w:val="left"/>
        <w:rPr>
          <w:sz w:val="16"/>
        </w:rPr>
      </w:pPr>
      <w:r>
        <w:rPr>
          <w:b/>
          <w:sz w:val="16"/>
        </w:rPr>
        <w:t>Especificación de la solicitud: </w:t>
      </w:r>
      <w:r>
        <w:rPr>
          <w:sz w:val="16"/>
        </w:rPr>
        <w:t>Especificar a qué aplica la solicitud.</w:t>
      </w:r>
    </w:p>
    <w:p>
      <w:pPr>
        <w:spacing w:after="0"/>
        <w:jc w:val="left"/>
        <w:rPr>
          <w:sz w:val="16"/>
        </w:rPr>
        <w:sectPr>
          <w:pgSz w:w="12240" w:h="15840"/>
          <w:pgMar w:top="1080" w:bottom="280" w:left="860" w:right="840"/>
        </w:sectPr>
      </w:pPr>
    </w:p>
    <w:p>
      <w:pPr>
        <w:pStyle w:val="BodyText"/>
        <w:spacing w:before="82"/>
      </w:pPr>
      <w:r>
        <w:rPr/>
        <w:t>Los posibles valores son los siguientes:</w:t>
      </w:r>
    </w:p>
    <w:p>
      <w:pPr>
        <w:pStyle w:val="BodyText"/>
        <w:spacing w:before="10"/>
        <w:ind w:left="0"/>
        <w:rPr>
          <w:sz w:val="12"/>
        </w:rPr>
      </w:pPr>
    </w:p>
    <w:tbl>
      <w:tblPr>
        <w:tblW w:w="0" w:type="auto"/>
        <w:jc w:val="left"/>
        <w:tblInd w:w="70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4712"/>
        <w:gridCol w:w="5004"/>
      </w:tblGrid>
      <w:tr>
        <w:trPr>
          <w:trHeight w:val="342" w:hRule="atLeast"/>
        </w:trPr>
        <w:tc>
          <w:tcPr>
            <w:tcW w:w="4712" w:type="dxa"/>
            <w:shd w:val="clear" w:color="auto" w:fill="F0F0F0"/>
          </w:tcPr>
          <w:p>
            <w:pPr>
              <w:pStyle w:val="TableParagraph"/>
              <w:spacing w:before="79"/>
              <w:ind w:left="1076"/>
              <w:rPr>
                <w:b/>
                <w:sz w:val="16"/>
              </w:rPr>
            </w:pPr>
            <w:r>
              <w:rPr>
                <w:b/>
                <w:sz w:val="16"/>
              </w:rPr>
              <w:t>Solicitudes de soporte a usuarios</w:t>
            </w:r>
          </w:p>
        </w:tc>
        <w:tc>
          <w:tcPr>
            <w:tcW w:w="5004" w:type="dxa"/>
            <w:tcBorders>
              <w:right w:val="single" w:sz="4" w:space="0" w:color="DDDDDD"/>
            </w:tcBorders>
            <w:shd w:val="clear" w:color="auto" w:fill="F0F0F0"/>
          </w:tcPr>
          <w:p>
            <w:pPr>
              <w:pStyle w:val="TableParagraph"/>
              <w:spacing w:before="79"/>
              <w:ind w:left="993"/>
              <w:rPr>
                <w:b/>
                <w:sz w:val="16"/>
              </w:rPr>
            </w:pPr>
            <w:r>
              <w:rPr>
                <w:b/>
                <w:sz w:val="16"/>
              </w:rPr>
              <w:t>Solicitudes de soporte a infraestructura</w:t>
            </w:r>
          </w:p>
        </w:tc>
      </w:tr>
      <w:tr>
        <w:trPr>
          <w:trHeight w:val="886" w:hRule="atLeast"/>
        </w:trPr>
        <w:tc>
          <w:tcPr>
            <w:tcW w:w="4712" w:type="dxa"/>
          </w:tcPr>
          <w:p>
            <w:pPr>
              <w:pStyle w:val="TableParagraph"/>
              <w:ind w:left="1591" w:right="1578"/>
              <w:jc w:val="center"/>
              <w:rPr>
                <w:sz w:val="16"/>
              </w:rPr>
            </w:pPr>
            <w:r>
              <w:rPr>
                <w:sz w:val="16"/>
              </w:rPr>
              <w:t>Gestión de software</w:t>
            </w:r>
          </w:p>
          <w:p>
            <w:pPr>
              <w:pStyle w:val="TableParagraph"/>
              <w:spacing w:before="158"/>
              <w:rPr>
                <w:sz w:val="16"/>
              </w:rPr>
            </w:pPr>
            <w:r>
              <w:rPr>
                <w:sz w:val="16"/>
              </w:rPr>
              <w:t>Lo relacionado a aplicaciones o sistema operativo.</w:t>
            </w:r>
          </w:p>
        </w:tc>
        <w:tc>
          <w:tcPr>
            <w:tcW w:w="5004" w:type="dxa"/>
            <w:tcBorders>
              <w:right w:val="single" w:sz="4" w:space="0" w:color="DDDDDD"/>
            </w:tcBorders>
          </w:tcPr>
          <w:p>
            <w:pPr>
              <w:pStyle w:val="TableParagraph"/>
              <w:ind w:left="1348"/>
              <w:rPr>
                <w:sz w:val="16"/>
              </w:rPr>
            </w:pPr>
            <w:r>
              <w:rPr>
                <w:sz w:val="16"/>
              </w:rPr>
              <w:t>Gestión de capa de aplicaciones</w:t>
            </w:r>
          </w:p>
          <w:p>
            <w:pPr>
              <w:pStyle w:val="TableParagraph"/>
              <w:spacing w:line="249" w:lineRule="auto" w:before="158"/>
              <w:ind w:right="59"/>
              <w:rPr>
                <w:sz w:val="16"/>
              </w:rPr>
            </w:pPr>
            <w:r>
              <w:rPr>
                <w:sz w:val="16"/>
              </w:rPr>
              <w:t>Lo relacionado a servidores de TGC de aplicaciones o servicios en la nube, propios y de terceros.</w:t>
            </w:r>
          </w:p>
        </w:tc>
      </w:tr>
      <w:tr>
        <w:trPr>
          <w:trHeight w:val="694" w:hRule="atLeast"/>
        </w:trPr>
        <w:tc>
          <w:tcPr>
            <w:tcW w:w="4712" w:type="dxa"/>
          </w:tcPr>
          <w:p>
            <w:pPr>
              <w:pStyle w:val="TableParagraph"/>
              <w:ind w:left="1592" w:right="1578"/>
              <w:jc w:val="center"/>
              <w:rPr>
                <w:sz w:val="16"/>
              </w:rPr>
            </w:pPr>
            <w:r>
              <w:rPr>
                <w:sz w:val="16"/>
              </w:rPr>
              <w:t>Gestión de hardware</w:t>
            </w:r>
          </w:p>
          <w:p>
            <w:pPr>
              <w:pStyle w:val="TableParagraph"/>
              <w:spacing w:before="158"/>
              <w:rPr>
                <w:sz w:val="16"/>
              </w:rPr>
            </w:pPr>
            <w:r>
              <w:rPr>
                <w:sz w:val="16"/>
              </w:rPr>
              <w:t>Lo relacionado al equipo fisico.</w:t>
            </w:r>
          </w:p>
        </w:tc>
        <w:tc>
          <w:tcPr>
            <w:tcW w:w="5004" w:type="dxa"/>
            <w:tcBorders>
              <w:right w:val="single" w:sz="4" w:space="0" w:color="DDDDDD"/>
            </w:tcBorders>
          </w:tcPr>
          <w:p>
            <w:pPr>
              <w:pStyle w:val="TableParagraph"/>
              <w:ind w:left="1285"/>
              <w:rPr>
                <w:sz w:val="16"/>
              </w:rPr>
            </w:pPr>
            <w:r>
              <w:rPr>
                <w:sz w:val="16"/>
              </w:rPr>
              <w:t>Gestión de capa de base de datos</w:t>
            </w:r>
          </w:p>
          <w:p>
            <w:pPr>
              <w:pStyle w:val="TableParagraph"/>
              <w:spacing w:before="158"/>
              <w:rPr>
                <w:sz w:val="16"/>
              </w:rPr>
            </w:pPr>
            <w:r>
              <w:rPr>
                <w:sz w:val="16"/>
              </w:rPr>
              <w:t>Lo relacionado a servidores de TGC de bases de datos.</w:t>
            </w:r>
          </w:p>
        </w:tc>
      </w:tr>
      <w:tr>
        <w:trPr>
          <w:trHeight w:val="886" w:hRule="atLeast"/>
        </w:trPr>
        <w:tc>
          <w:tcPr>
            <w:tcW w:w="4712" w:type="dxa"/>
          </w:tcPr>
          <w:p>
            <w:pPr>
              <w:pStyle w:val="TableParagraph"/>
              <w:ind w:left="1667"/>
              <w:rPr>
                <w:sz w:val="16"/>
              </w:rPr>
            </w:pPr>
            <w:r>
              <w:rPr>
                <w:sz w:val="16"/>
              </w:rPr>
              <w:t>Gestión de cuentas</w:t>
            </w:r>
          </w:p>
          <w:p>
            <w:pPr>
              <w:pStyle w:val="TableParagraph"/>
              <w:spacing w:line="249" w:lineRule="auto" w:before="158"/>
              <w:rPr>
                <w:sz w:val="16"/>
              </w:rPr>
            </w:pPr>
            <w:r>
              <w:rPr>
                <w:sz w:val="16"/>
              </w:rPr>
              <w:t>Lo relacionado a cuentas de los usuarios (dominio, correo, jira, etc.).</w:t>
            </w:r>
          </w:p>
        </w:tc>
        <w:tc>
          <w:tcPr>
            <w:tcW w:w="5004" w:type="dxa"/>
            <w:tcBorders>
              <w:right w:val="single" w:sz="4" w:space="0" w:color="DDDDDD"/>
            </w:tcBorders>
          </w:tcPr>
          <w:p>
            <w:pPr>
              <w:pStyle w:val="TableParagraph"/>
              <w:ind w:left="1958" w:right="1943"/>
              <w:jc w:val="center"/>
              <w:rPr>
                <w:sz w:val="16"/>
              </w:rPr>
            </w:pPr>
            <w:r>
              <w:rPr>
                <w:sz w:val="16"/>
              </w:rPr>
              <w:t>Gestión de red</w:t>
            </w:r>
          </w:p>
          <w:p>
            <w:pPr>
              <w:pStyle w:val="TableParagraph"/>
              <w:spacing w:before="158"/>
              <w:rPr>
                <w:sz w:val="16"/>
              </w:rPr>
            </w:pPr>
            <w:r>
              <w:rPr>
                <w:sz w:val="16"/>
              </w:rPr>
              <w:t>Lo relacionado a la infraestructura de red local de TGC.</w:t>
            </w:r>
          </w:p>
        </w:tc>
      </w:tr>
      <w:tr>
        <w:trPr>
          <w:trHeight w:val="886" w:hRule="atLeast"/>
        </w:trPr>
        <w:tc>
          <w:tcPr>
            <w:tcW w:w="4712" w:type="dxa"/>
          </w:tcPr>
          <w:p>
            <w:pPr>
              <w:pStyle w:val="TableParagraph"/>
              <w:ind w:left="1293"/>
              <w:rPr>
                <w:sz w:val="16"/>
              </w:rPr>
            </w:pPr>
            <w:r>
              <w:rPr>
                <w:sz w:val="16"/>
              </w:rPr>
              <w:t>Alta-Baja de equipo y cuentas</w:t>
            </w:r>
          </w:p>
          <w:p>
            <w:pPr>
              <w:pStyle w:val="TableParagraph"/>
              <w:spacing w:line="249" w:lineRule="auto" w:before="158"/>
              <w:rPr>
                <w:sz w:val="16"/>
              </w:rPr>
            </w:pPr>
            <w:r>
              <w:rPr>
                <w:sz w:val="16"/>
              </w:rPr>
              <w:t>Lo relacionado a preparación o entrega de equipo físico y cuentas de usuario.</w:t>
            </w:r>
          </w:p>
        </w:tc>
        <w:tc>
          <w:tcPr>
            <w:tcW w:w="5004" w:type="dxa"/>
            <w:tcBorders>
              <w:right w:val="single" w:sz="4" w:space="0" w:color="DDDDDD"/>
            </w:tcBorders>
          </w:tcPr>
          <w:p>
            <w:pPr>
              <w:pStyle w:val="TableParagraph"/>
              <w:ind w:left="1761"/>
              <w:rPr>
                <w:sz w:val="16"/>
              </w:rPr>
            </w:pPr>
            <w:r>
              <w:rPr>
                <w:sz w:val="16"/>
              </w:rPr>
              <w:t>Gestión de hardware</w:t>
            </w:r>
          </w:p>
          <w:p>
            <w:pPr>
              <w:pStyle w:val="TableParagraph"/>
              <w:spacing w:line="249" w:lineRule="auto" w:before="158"/>
              <w:rPr>
                <w:sz w:val="16"/>
              </w:rPr>
            </w:pPr>
            <w:r>
              <w:rPr>
                <w:sz w:val="16"/>
              </w:rPr>
              <w:t>Lo relacionado a los equipos fisicos comunes de TGC (servidores, impresoras, proyectores, etc.).</w:t>
            </w:r>
          </w:p>
        </w:tc>
      </w:tr>
      <w:tr>
        <w:trPr>
          <w:trHeight w:val="694" w:hRule="atLeast"/>
        </w:trPr>
        <w:tc>
          <w:tcPr>
            <w:tcW w:w="4712" w:type="dxa"/>
          </w:tcPr>
          <w:p>
            <w:pPr>
              <w:pStyle w:val="TableParagraph"/>
              <w:spacing w:before="0"/>
              <w:ind w:left="0"/>
              <w:rPr>
                <w:rFonts w:ascii="Times New Roman"/>
                <w:sz w:val="14"/>
              </w:rPr>
            </w:pPr>
          </w:p>
        </w:tc>
        <w:tc>
          <w:tcPr>
            <w:tcW w:w="5004" w:type="dxa"/>
            <w:tcBorders>
              <w:right w:val="single" w:sz="4" w:space="0" w:color="DDDDDD"/>
            </w:tcBorders>
          </w:tcPr>
          <w:p>
            <w:pPr>
              <w:pStyle w:val="TableParagraph"/>
              <w:ind w:left="1277"/>
              <w:rPr>
                <w:sz w:val="16"/>
              </w:rPr>
            </w:pPr>
            <w:r>
              <w:rPr>
                <w:sz w:val="16"/>
              </w:rPr>
              <w:t>Creación de ambiente (servidores)</w:t>
            </w:r>
          </w:p>
          <w:p>
            <w:pPr>
              <w:pStyle w:val="TableParagraph"/>
              <w:spacing w:before="158"/>
              <w:rPr>
                <w:sz w:val="16"/>
              </w:rPr>
            </w:pPr>
            <w:r>
              <w:rPr>
                <w:sz w:val="16"/>
              </w:rPr>
              <w:t>Lo relacionado a configuración o creación de nuevos ambientes.</w:t>
            </w:r>
          </w:p>
        </w:tc>
      </w:tr>
      <w:tr>
        <w:trPr>
          <w:trHeight w:val="886" w:hRule="atLeast"/>
        </w:trPr>
        <w:tc>
          <w:tcPr>
            <w:tcW w:w="4712" w:type="dxa"/>
          </w:tcPr>
          <w:p>
            <w:pPr>
              <w:pStyle w:val="TableParagraph"/>
              <w:spacing w:before="0"/>
              <w:ind w:left="0"/>
              <w:rPr>
                <w:rFonts w:ascii="Times New Roman"/>
                <w:sz w:val="14"/>
              </w:rPr>
            </w:pPr>
          </w:p>
        </w:tc>
        <w:tc>
          <w:tcPr>
            <w:tcW w:w="5004" w:type="dxa"/>
            <w:tcBorders>
              <w:right w:val="single" w:sz="4" w:space="0" w:color="DDDDDD"/>
            </w:tcBorders>
          </w:tcPr>
          <w:p>
            <w:pPr>
              <w:pStyle w:val="TableParagraph"/>
              <w:ind w:left="1281"/>
              <w:rPr>
                <w:sz w:val="16"/>
              </w:rPr>
            </w:pPr>
            <w:r>
              <w:rPr>
                <w:sz w:val="16"/>
              </w:rPr>
              <w:t>Creación de proyecto o repositorio</w:t>
            </w:r>
          </w:p>
          <w:p>
            <w:pPr>
              <w:pStyle w:val="TableParagraph"/>
              <w:spacing w:line="249" w:lineRule="auto" w:before="158"/>
              <w:ind w:right="59"/>
              <w:rPr>
                <w:sz w:val="16"/>
              </w:rPr>
            </w:pPr>
            <w:r>
              <w:rPr>
                <w:sz w:val="16"/>
              </w:rPr>
              <w:t>Lo relacionado a configuración o creación de proyectos y repositorios.</w:t>
            </w:r>
          </w:p>
        </w:tc>
      </w:tr>
    </w:tbl>
    <w:p>
      <w:pPr>
        <w:pStyle w:val="BodyText"/>
        <w:spacing w:line="249" w:lineRule="auto" w:before="147"/>
        <w:ind w:right="5937"/>
      </w:pPr>
      <w:r>
        <w:rPr>
          <w:b/>
        </w:rPr>
        <w:t>Severidad: </w:t>
      </w:r>
      <w:r>
        <w:rPr/>
        <w:t>Seleccionar la severidad de la solicitud. Los posibles valores son:</w:t>
      </w:r>
    </w:p>
    <w:p>
      <w:pPr>
        <w:pStyle w:val="BodyText"/>
        <w:spacing w:line="249" w:lineRule="auto" w:before="151"/>
      </w:pPr>
      <w:r>
        <w:rPr>
          <w:i/>
          <w:color w:val="7F0000"/>
        </w:rPr>
        <w:t>Crítica</w:t>
      </w:r>
      <w:r>
        <w:rPr/>
        <w:t>: Cuando la solicitud debe ser atendida inmediatamente porque se encuentra detenido el trabajo o porque su solución impacta en otros trabajos y el responsable de atender la solicitud se tiene que enfocar a su solución sobre cualquier otra solicitud o asignación.</w:t>
      </w:r>
    </w:p>
    <w:p>
      <w:pPr>
        <w:pStyle w:val="BodyText"/>
        <w:spacing w:line="249" w:lineRule="auto" w:before="151"/>
      </w:pPr>
      <w:r>
        <w:rPr>
          <w:i/>
          <w:color w:val="7F0000"/>
        </w:rPr>
        <w:t>Alta</w:t>
      </w:r>
      <w:r>
        <w:rPr/>
        <w:t>: Cuando la solicitud debe ser atendida rápidamente y el responsable de la solución debe planear su trabajo asignándole prioridad sobre otros asuntos de prioridad más baja.</w:t>
      </w:r>
    </w:p>
    <w:p>
      <w:pPr>
        <w:pStyle w:val="BodyText"/>
        <w:spacing w:line="249" w:lineRule="auto" w:before="152"/>
      </w:pPr>
      <w:r>
        <w:rPr>
          <w:i/>
          <w:color w:val="7F0000"/>
        </w:rPr>
        <w:t>Media</w:t>
      </w:r>
      <w:r>
        <w:rPr/>
        <w:t>: Cuando la solicitud no es importante y el responsable de la solución debe planear su trabajo asignándole prioridad después de otros asuntos de prioridad más alta.</w:t>
      </w:r>
    </w:p>
    <w:p>
      <w:pPr>
        <w:pStyle w:val="BodyText"/>
        <w:spacing w:line="249" w:lineRule="auto" w:before="151"/>
        <w:ind w:right="5"/>
      </w:pPr>
      <w:r>
        <w:rPr>
          <w:i/>
          <w:color w:val="7F0000"/>
        </w:rPr>
        <w:t>Baja</w:t>
      </w:r>
      <w:r>
        <w:rPr/>
        <w:t>: Cuando la solicitud no es importante y se le va a dedicar tiempo a su solución cuando no exista ninguna otra solicitud o asignación de prioridad más alta.</w:t>
      </w:r>
    </w:p>
    <w:p>
      <w:pPr>
        <w:pStyle w:val="BodyText"/>
        <w:spacing w:before="153"/>
      </w:pPr>
      <w:r>
        <w:rPr>
          <w:b/>
        </w:rPr>
        <w:t>Adjunto: </w:t>
      </w:r>
      <w:r>
        <w:rPr/>
        <w:t>Si es necesario, se puede adjuntar algún archivo o documento relacionado con la solicitud.</w:t>
      </w:r>
    </w:p>
    <w:p>
      <w:pPr>
        <w:pStyle w:val="BodyText"/>
        <w:spacing w:before="5"/>
        <w:ind w:left="0"/>
        <w:rPr>
          <w:sz w:val="22"/>
        </w:rPr>
      </w:pPr>
    </w:p>
    <w:p>
      <w:pPr>
        <w:pStyle w:val="ListParagraph"/>
        <w:numPr>
          <w:ilvl w:val="0"/>
          <w:numId w:val="1"/>
        </w:numPr>
        <w:tabs>
          <w:tab w:pos="700" w:val="left" w:leader="none"/>
        </w:tabs>
        <w:spacing w:line="249" w:lineRule="auto" w:before="95" w:after="0"/>
        <w:ind w:left="700" w:right="447" w:hanging="223"/>
        <w:jc w:val="left"/>
        <w:rPr>
          <w:sz w:val="16"/>
        </w:rPr>
      </w:pPr>
      <w:r>
        <w:rPr>
          <w:sz w:val="16"/>
        </w:rPr>
        <w:t>Al concluir la captura, guardar los cambios realizados presionando el botón </w:t>
      </w:r>
      <w:r>
        <w:rPr>
          <w:b/>
          <w:sz w:val="16"/>
        </w:rPr>
        <w:t>Create</w:t>
      </w:r>
      <w:r>
        <w:rPr>
          <w:sz w:val="16"/>
        </w:rPr>
        <w:t>. Si el alta concluye satisfactoriamente, el</w:t>
      </w:r>
      <w:r>
        <w:rPr>
          <w:spacing w:val="-17"/>
          <w:sz w:val="16"/>
        </w:rPr>
        <w:t> </w:t>
      </w:r>
      <w:r>
        <w:rPr>
          <w:sz w:val="16"/>
        </w:rPr>
        <w:t>sistema cambia a la pantalla de la solicitud recién</w:t>
      </w:r>
      <w:r>
        <w:rPr>
          <w:spacing w:val="-8"/>
          <w:sz w:val="16"/>
        </w:rPr>
        <w:t> </w:t>
      </w:r>
      <w:r>
        <w:rPr>
          <w:sz w:val="16"/>
        </w:rPr>
        <w:t>creada.</w:t>
      </w:r>
    </w:p>
    <w:p>
      <w:pPr>
        <w:pStyle w:val="BodyText"/>
        <w:spacing w:before="10"/>
        <w:ind w:left="0"/>
        <w:rPr>
          <w:sz w:val="10"/>
        </w:rPr>
      </w:pPr>
      <w:r>
        <w:rPr/>
        <w:drawing>
          <wp:anchor distT="0" distB="0" distL="0" distR="0" allowOverlap="1" layoutInCell="1" locked="0" behindDoc="0" simplePos="0" relativeHeight="1">
            <wp:simplePos x="0" y="0"/>
            <wp:positionH relativeFrom="page">
              <wp:posOffset>1000125</wp:posOffset>
            </wp:positionH>
            <wp:positionV relativeFrom="paragraph">
              <wp:posOffset>104211</wp:posOffset>
            </wp:positionV>
            <wp:extent cx="4754176" cy="188595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754176" cy="1885950"/>
                    </a:xfrm>
                    <a:prstGeom prst="rect">
                      <a:avLst/>
                    </a:prstGeom>
                  </pic:spPr>
                </pic:pic>
              </a:graphicData>
            </a:graphic>
          </wp:anchor>
        </w:drawing>
      </w:r>
    </w:p>
    <w:p>
      <w:pPr>
        <w:spacing w:after="0"/>
        <w:rPr>
          <w:sz w:val="10"/>
        </w:rPr>
        <w:sectPr>
          <w:pgSz w:w="12240" w:h="15840"/>
          <w:pgMar w:top="880" w:bottom="280" w:left="860" w:right="840"/>
        </w:sectPr>
      </w:pPr>
    </w:p>
    <w:p>
      <w:pPr>
        <w:pStyle w:val="Heading1"/>
        <w:spacing w:before="175"/>
      </w:pPr>
      <w:r>
        <w:rPr>
          <w:color w:val="333333"/>
        </w:rPr>
        <w:t>Related articles</w:t>
      </w:r>
    </w:p>
    <w:p>
      <w:pPr>
        <w:pStyle w:val="BodyText"/>
        <w:spacing w:before="223"/>
        <w:ind w:left="415"/>
      </w:pPr>
      <w:r>
        <w:rPr/>
        <w:pict>
          <v:shape style="position:absolute;margin-left:54.529999pt;margin-top:13.403884pt;width:3.1pt;height:3.1pt;mso-position-horizontal-relative:page;mso-position-vertical-relative:paragraph;z-index:1072" coordorigin="1091,268" coordsize="62,62" path="m1121,268l1109,270,1100,277,1093,287,1091,299,1093,311,1100,321,1109,327,1121,330,1133,327,1143,321,1150,311,1152,299,1150,287,1143,277,1133,270,1121,268xe" filled="true" fillcolor="#000000" stroked="false">
            <v:path arrowok="t"/>
            <v:fill type="solid"/>
            <w10:wrap type="none"/>
          </v:shape>
        </w:pict>
      </w:r>
      <w:hyperlink w:history="true" w:anchor="_bookmark0">
        <w:r>
          <w:rPr>
            <w:color w:val="003366"/>
          </w:rPr>
          <w:t>Captura de solicitudes en Mesa de Ayuda</w:t>
        </w:r>
      </w:hyperlink>
    </w:p>
    <w:sectPr>
      <w:pgSz w:w="12240" w:h="15840"/>
      <w:pgMar w:top="150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0"/>
      <w:numFmt w:val="bullet"/>
      <w:lvlText w:val="•"/>
      <w:lvlJc w:val="left"/>
      <w:pPr>
        <w:ind w:left="1684" w:hanging="223"/>
      </w:pPr>
      <w:rPr>
        <w:rFonts w:hint="default"/>
      </w:rPr>
    </w:lvl>
    <w:lvl w:ilvl="2">
      <w:start w:val="0"/>
      <w:numFmt w:val="bullet"/>
      <w:lvlText w:val="•"/>
      <w:lvlJc w:val="left"/>
      <w:pPr>
        <w:ind w:left="2668" w:hanging="223"/>
      </w:pPr>
      <w:rPr>
        <w:rFonts w:hint="default"/>
      </w:rPr>
    </w:lvl>
    <w:lvl w:ilvl="3">
      <w:start w:val="0"/>
      <w:numFmt w:val="bullet"/>
      <w:lvlText w:val="•"/>
      <w:lvlJc w:val="left"/>
      <w:pPr>
        <w:ind w:left="3652" w:hanging="223"/>
      </w:pPr>
      <w:rPr>
        <w:rFonts w:hint="default"/>
      </w:rPr>
    </w:lvl>
    <w:lvl w:ilvl="4">
      <w:start w:val="0"/>
      <w:numFmt w:val="bullet"/>
      <w:lvlText w:val="•"/>
      <w:lvlJc w:val="left"/>
      <w:pPr>
        <w:ind w:left="4636" w:hanging="223"/>
      </w:pPr>
      <w:rPr>
        <w:rFonts w:hint="default"/>
      </w:rPr>
    </w:lvl>
    <w:lvl w:ilvl="5">
      <w:start w:val="0"/>
      <w:numFmt w:val="bullet"/>
      <w:lvlText w:val="•"/>
      <w:lvlJc w:val="left"/>
      <w:pPr>
        <w:ind w:left="5620" w:hanging="223"/>
      </w:pPr>
      <w:rPr>
        <w:rFonts w:hint="default"/>
      </w:rPr>
    </w:lvl>
    <w:lvl w:ilvl="6">
      <w:start w:val="0"/>
      <w:numFmt w:val="bullet"/>
      <w:lvlText w:val="•"/>
      <w:lvlJc w:val="left"/>
      <w:pPr>
        <w:ind w:left="6604" w:hanging="223"/>
      </w:pPr>
      <w:rPr>
        <w:rFonts w:hint="default"/>
      </w:rPr>
    </w:lvl>
    <w:lvl w:ilvl="7">
      <w:start w:val="0"/>
      <w:numFmt w:val="bullet"/>
      <w:lvlText w:val="•"/>
      <w:lvlJc w:val="left"/>
      <w:pPr>
        <w:ind w:left="7588" w:hanging="223"/>
      </w:pPr>
      <w:rPr>
        <w:rFonts w:hint="default"/>
      </w:rPr>
    </w:lvl>
    <w:lvl w:ilvl="8">
      <w:start w:val="0"/>
      <w:numFmt w:val="bullet"/>
      <w:lvlText w:val="•"/>
      <w:lvlJc w:val="left"/>
      <w:pPr>
        <w:ind w:left="8572"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700"/>
    </w:pPr>
    <w:rPr>
      <w:rFonts w:ascii="Arial" w:hAnsi="Arial" w:eastAsia="Arial" w:cs="Arial"/>
      <w:sz w:val="16"/>
      <w:szCs w:val="16"/>
    </w:rPr>
  </w:style>
  <w:style w:styleId="Heading1" w:type="paragraph">
    <w:name w:val="Heading 1"/>
    <w:basedOn w:val="Normal"/>
    <w:uiPriority w:val="1"/>
    <w:qFormat/>
    <w:pPr>
      <w:spacing w:before="109"/>
      <w:ind w:left="130"/>
      <w:outlineLvl w:val="1"/>
    </w:pPr>
    <w:rPr>
      <w:rFonts w:ascii="Arial" w:hAnsi="Arial" w:eastAsia="Arial" w:cs="Arial"/>
      <w:b/>
      <w:bCs/>
      <w:sz w:val="24"/>
      <w:szCs w:val="24"/>
    </w:rPr>
  </w:style>
  <w:style w:styleId="ListParagraph" w:type="paragraph">
    <w:name w:val="List Paragraph"/>
    <w:basedOn w:val="Normal"/>
    <w:uiPriority w:val="1"/>
    <w:qFormat/>
    <w:pPr>
      <w:spacing w:before="95"/>
      <w:ind w:left="700" w:hanging="223"/>
    </w:pPr>
    <w:rPr>
      <w:rFonts w:ascii="Arial" w:hAnsi="Arial" w:eastAsia="Arial" w:cs="Arial"/>
    </w:rPr>
  </w:style>
  <w:style w:styleId="TableParagraph" w:type="paragraph">
    <w:name w:val="Table Paragraph"/>
    <w:basedOn w:val="Normal"/>
    <w:uiPriority w:val="1"/>
    <w:qFormat/>
    <w:pPr>
      <w:spacing w:before="82"/>
      <w:ind w:left="8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tgcstudio.jira.com/servicedesk/customer/portal/5"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2019-06-14T18:13:13Z</dcterms:created>
  <dcterms:modified xsi:type="dcterms:W3CDTF">2019-06-14T18:13:13Z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