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Instalacion de SW por Dominio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Instalacion de SW por Dominio</w:t>
      </w:r>
    </w:p>
    <w:p>
      <w:pPr>
        <w:pStyle w:val="BodyText"/>
        <w:spacing w:before="204"/>
        <w:ind w:left="100"/>
      </w:pPr>
      <w:r>
        <w:rPr/>
        <w:t>A continuación se describen los pasos para instalar Software desplegado por medio del dominio de TGC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Procedimiento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Ingresar a Panel de</w:t>
      </w:r>
      <w:r>
        <w:rPr>
          <w:spacing w:val="-4"/>
          <w:sz w:val="16"/>
        </w:rPr>
        <w:t> </w:t>
      </w:r>
      <w:r>
        <w:rPr>
          <w:sz w:val="16"/>
        </w:rPr>
        <w:t>Control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4" w:after="22"/>
        <w:ind w:left="700" w:right="0" w:hanging="223"/>
        <w:jc w:val="left"/>
        <w:rPr>
          <w:sz w:val="16"/>
        </w:rPr>
      </w:pPr>
      <w:r>
        <w:rPr>
          <w:sz w:val="16"/>
        </w:rPr>
        <w:t>dar clic en Obtener</w:t>
      </w:r>
      <w:r>
        <w:rPr>
          <w:spacing w:val="-4"/>
          <w:sz w:val="16"/>
        </w:rPr>
        <w:t> </w:t>
      </w:r>
      <w:r>
        <w:rPr>
          <w:sz w:val="16"/>
        </w:rPr>
        <w:t>programas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753135" cy="36099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13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Dar doble clic en el programa que deseamos</w:t>
      </w:r>
      <w:r>
        <w:rPr>
          <w:spacing w:val="-8"/>
          <w:sz w:val="16"/>
        </w:rPr>
        <w:t> </w:t>
      </w:r>
      <w:r>
        <w:rPr>
          <w:sz w:val="16"/>
        </w:rPr>
        <w:t>instalar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762500" cy="36480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14"/>
        <w:ind w:left="700" w:right="186" w:hanging="223"/>
        <w:jc w:val="left"/>
        <w:rPr>
          <w:sz w:val="16"/>
        </w:rPr>
      </w:pPr>
      <w:r>
        <w:rPr>
          <w:sz w:val="16"/>
        </w:rPr>
        <w:t>Nos aparecerá un mensaje que nos dice que estamos utilizando una version de prueba de Advance Installer, para lo cual damos clic</w:t>
      </w:r>
      <w:r>
        <w:rPr>
          <w:spacing w:val="-22"/>
          <w:sz w:val="16"/>
        </w:rPr>
        <w:t> </w:t>
      </w:r>
      <w:r>
        <w:rPr>
          <w:sz w:val="16"/>
        </w:rPr>
        <w:t>en el botón de</w:t>
      </w:r>
      <w:r>
        <w:rPr>
          <w:spacing w:val="-3"/>
          <w:sz w:val="16"/>
        </w:rPr>
        <w:t> </w:t>
      </w:r>
      <w:r>
        <w:rPr>
          <w:sz w:val="16"/>
        </w:rPr>
        <w:t>OK.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36245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311" w:hanging="223"/>
        <w:jc w:val="left"/>
        <w:rPr>
          <w:sz w:val="16"/>
        </w:rPr>
      </w:pPr>
      <w:r>
        <w:rPr>
          <w:sz w:val="16"/>
        </w:rPr>
        <w:t>Seguimos las instrucciones del asistente y en el momento en el que nos solicite el tipo de instalación seleccionamos cualquiera de</w:t>
      </w:r>
      <w:r>
        <w:rPr>
          <w:spacing w:val="-21"/>
          <w:sz w:val="16"/>
        </w:rPr>
        <w:t> </w:t>
      </w:r>
      <w:r>
        <w:rPr>
          <w:sz w:val="16"/>
        </w:rPr>
        <w:t>las opciones, esto debido a que por la configuración y contenido de nuestro instalador se ejecutara lo mismo al</w:t>
      </w:r>
      <w:r>
        <w:rPr>
          <w:spacing w:val="-18"/>
          <w:sz w:val="16"/>
        </w:rPr>
        <w:t> </w:t>
      </w:r>
      <w:r>
        <w:rPr>
          <w:sz w:val="16"/>
        </w:rPr>
        <w:t>finalizar.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705698" cy="436245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9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4" w:after="0"/>
        <w:ind w:left="700" w:right="116" w:hanging="223"/>
        <w:jc w:val="left"/>
        <w:rPr>
          <w:sz w:val="16"/>
        </w:rPr>
      </w:pPr>
      <w:r>
        <w:rPr>
          <w:sz w:val="16"/>
        </w:rPr>
        <w:t>Al finalizar el asistente marcamos la casilla para lanzar el SW que acabamos de instalar. Es importante que siempre se marque la</w:t>
      </w:r>
      <w:r>
        <w:rPr>
          <w:spacing w:val="-22"/>
          <w:sz w:val="16"/>
        </w:rPr>
        <w:t> </w:t>
      </w:r>
      <w:r>
        <w:rPr>
          <w:sz w:val="16"/>
        </w:rPr>
        <w:t>casilla mencionada para corroborar que el SW se instalo bien y en caso de ser un SW que solo se pueda instalar con permisos de administrador, el asistente pueda continuar su</w:t>
      </w:r>
      <w:r>
        <w:rPr>
          <w:spacing w:val="-6"/>
          <w:sz w:val="16"/>
        </w:rPr>
        <w:t> </w:t>
      </w:r>
      <w:r>
        <w:rPr>
          <w:sz w:val="16"/>
        </w:rPr>
        <w:t>ejecución.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333875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before="94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NOTAS:</w:t>
      </w:r>
    </w:p>
    <w:p>
      <w:pPr>
        <w:pStyle w:val="BodyText"/>
        <w:spacing w:before="156"/>
        <w:ind w:left="700"/>
      </w:pPr>
      <w:r>
        <w:rPr/>
        <w:pict>
          <v:shape style="position:absolute;margin-left:68.779999pt;margin-top:10.053912pt;width:3.1pt;height:3.1pt;mso-position-horizontal-relative:page;mso-position-vertical-relative:paragraph;z-index:1024" coordorigin="1376,201" coordsize="62,62" path="m1406,201l1394,204,1385,210,1378,220,1376,232,1378,244,1385,254,1394,260,1406,263,1418,260,1428,254,1435,244,1437,232,1435,220,1428,210,1418,204,1406,201xe" filled="true" fillcolor="#000000" stroked="false">
            <v:path arrowok="t"/>
            <v:fill type="solid"/>
            <w10:wrap type="none"/>
          </v:shape>
        </w:pict>
      </w:r>
      <w:r>
        <w:rPr/>
        <w:t>Asistente inicial de SW liberado para usuario:</w:t>
      </w:r>
    </w:p>
    <w:p>
      <w:pPr>
        <w:spacing w:after="0"/>
        <w:sectPr>
          <w:pgSz w:w="12240" w:h="15840"/>
          <w:pgMar w:top="980" w:bottom="280" w:left="860" w:right="8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362450"/>
            <wp:effectExtent l="0" t="0" r="0" b="0"/>
            <wp:docPr id="1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49" w:lineRule="auto" w:before="95"/>
        <w:ind w:left="700"/>
      </w:pPr>
      <w:r>
        <w:rPr/>
        <w:pict>
          <v:shape style="position:absolute;margin-left:68.779999pt;margin-top:7.003919pt;width:3.1pt;height:3.1pt;mso-position-horizontal-relative:page;mso-position-vertical-relative:paragraph;z-index:1048" coordorigin="1376,140" coordsize="62,62" path="m1406,140l1394,143,1385,149,1378,159,1376,171,1378,183,1385,193,1394,199,1406,201,1418,199,1428,193,1435,183,1437,171,1435,159,1428,149,1418,143,1406,140xe" filled="true" fillcolor="#000000" stroked="false">
            <v:path arrowok="t"/>
            <v:fill type="solid"/>
            <w10:wrap type="none"/>
          </v:shape>
        </w:pict>
      </w:r>
      <w:r>
        <w:rPr/>
        <w:t>Asistente inicial para SW liberado para Administradores, al finalizar este asistente se lanza el Wizard "nativo" del programa a instalar y solicita permisos de administrador:</w:t>
      </w:r>
    </w:p>
    <w:p>
      <w:pPr>
        <w:spacing w:after="0" w:line="249" w:lineRule="auto"/>
        <w:sectPr>
          <w:pgSz w:w="12240" w:h="15840"/>
          <w:pgMar w:top="980" w:bottom="280" w:left="860" w:right="88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715000" cy="4467225"/>
            <wp:effectExtent l="0" t="0" r="0" b="0"/>
            <wp:docPr id="1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5"/>
        <w:ind w:left="700"/>
      </w:pPr>
      <w:r>
        <w:rPr/>
        <w:pict>
          <v:shape style="position:absolute;margin-left:68.779999pt;margin-top:7.003894pt;width:3.1pt;height:3.1pt;mso-position-horizontal-relative:page;mso-position-vertical-relative:paragraph;z-index:1072" coordorigin="1376,140" coordsize="62,62" path="m1406,140l1394,142,1385,149,1378,159,1376,171,1378,183,1385,193,1394,199,1406,202,1418,199,1428,193,1435,183,1437,171,1435,159,1428,149,1418,142,1406,140xe" filled="true" fillcolor="#000000" stroked="false">
            <v:path arrowok="t"/>
            <v:fill type="solid"/>
            <w10:wrap type="none"/>
          </v:shape>
        </w:pict>
      </w:r>
      <w:r>
        <w:rPr/>
        <w:t>Para desinstalar el SW hay que realizarlo por medio del menu de Obtener Programas, mostrado en el punto 3 de este instructivo.</w:t>
      </w:r>
    </w:p>
    <w:p>
      <w:pPr>
        <w:pStyle w:val="BodyText"/>
        <w:spacing w:line="249" w:lineRule="auto" w:before="8"/>
        <w:ind w:left="700"/>
      </w:pPr>
      <w:r>
        <w:rPr/>
        <w:pict>
          <v:shape style="position:absolute;margin-left:68.779999pt;margin-top:2.653919pt;width:3.1pt;height:3.1pt;mso-position-horizontal-relative:page;mso-position-vertical-relative:paragraph;z-index:1096" coordorigin="1376,53" coordsize="62,62" path="m1406,53l1394,56,1385,62,1378,72,1376,84,1378,96,1385,106,1394,112,1406,114,1418,112,1428,106,1435,96,1437,84,1435,72,1428,62,1418,56,1406,53xe" filled="true" fillcolor="#000000" stroked="false">
            <v:path arrowok="t"/>
            <v:fill type="solid"/>
            <w10:wrap type="none"/>
          </v:shape>
        </w:pict>
      </w:r>
      <w:r>
        <w:rPr/>
        <w:t>En caso de Java se debe de instalar por separado el JDK y el JRE, esto debido a que si se deja seleccionada la opción de JRE en el asistente del JDK pedirá contraseña de administrador y al no ingresarla no se instalara y quedara únicamente instalado el JDK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980" w:bottom="280" w:left="860" w:right="880"/>
        </w:sect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before="223"/>
        <w:ind w:left="415"/>
      </w:pPr>
      <w:hyperlink r:id="rId11">
        <w:r>
          <w:rPr>
            <w:color w:val="003366"/>
          </w:rPr>
          <w:t>Instalacion de SW por Dominio</w:t>
        </w:r>
      </w:hyperlink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30"/>
      </w:pPr>
      <w:hyperlink r:id="rId12">
        <w:r>
          <w:rPr>
            <w:color w:val="003366"/>
          </w:rPr>
          <w:t>Tunear el performance del JDeveloper 12.2.1.2</w:t>
        </w:r>
      </w:hyperlink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"/>
        <w:ind w:left="130"/>
      </w:pPr>
      <w:hyperlink r:id="rId13">
        <w:r>
          <w:rPr>
            <w:color w:val="003366"/>
          </w:rPr>
          <w:t>Clonación Multicast</w:t>
        </w:r>
      </w:hyperlink>
    </w:p>
    <w:p>
      <w:pPr>
        <w:spacing w:after="0"/>
        <w:sectPr>
          <w:type w:val="continuous"/>
          <w:pgSz w:w="12240" w:h="15840"/>
          <w:pgMar w:top="940" w:bottom="280" w:left="860" w:right="880"/>
          <w:cols w:num="3" w:equalWidth="0">
            <w:col w:w="2649" w:space="148"/>
            <w:col w:w="3519" w:space="149"/>
            <w:col w:w="4035"/>
          </w:cols>
        </w:sectPr>
      </w:pPr>
    </w:p>
    <w:p>
      <w:pPr>
        <w:pStyle w:val="BodyText"/>
        <w:spacing w:before="8"/>
        <w:ind w:left="415"/>
      </w:pPr>
      <w:hyperlink r:id="rId14">
        <w:r>
          <w:rPr>
            <w:color w:val="003366"/>
          </w:rPr>
          <w:t>Instalación y configuración de Forticlient SSL-VPN en </w:t>
        </w:r>
        <w:r>
          <w:rPr>
            <w:color w:val="003366"/>
            <w:spacing w:val="-4"/>
          </w:rPr>
          <w:t>Linux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415"/>
      </w:pPr>
      <w:r>
        <w:rPr/>
        <w:pict>
          <v:shape style="position:absolute;margin-left:54.529999pt;margin-top:2.253903pt;width:3.1pt;height:3.1pt;mso-position-horizontal-relative:page;mso-position-vertical-relative:paragraph;z-index:1144" coordorigin="1091,45" coordsize="62,62" path="m1121,45l1109,47,1100,54,1093,64,1091,76,1093,88,1100,98,1109,104,1121,106,1133,104,1143,98,1150,88,1152,76,1150,64,1143,54,1133,47,1121,45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Instalacion de SW por Dominio</w:t>
        </w:r>
      </w:hyperlink>
    </w:p>
    <w:p>
      <w:pPr>
        <w:pStyle w:val="BodyText"/>
        <w:spacing w:before="26"/>
        <w:ind w:left="280"/>
      </w:pPr>
      <w:r>
        <w:rPr/>
        <w:br w:type="column"/>
      </w:r>
      <w:hyperlink r:id="rId15">
        <w:r>
          <w:rPr>
            <w:color w:val="003366"/>
          </w:rPr>
          <w:t>Multiples Listener para bases de </w:t>
        </w:r>
        <w:r>
          <w:rPr>
            <w:color w:val="003366"/>
            <w:spacing w:val="-4"/>
          </w:rPr>
          <w:t>datos</w:t>
        </w:r>
      </w:hyperlink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49" w:lineRule="auto"/>
        <w:ind w:left="203" w:right="82"/>
      </w:pPr>
      <w:r>
        <w:rPr/>
        <w:pict>
          <v:shape style="position:absolute;margin-left:430.5pt;margin-top:2.253900pt;width:3.1pt;height:3.1pt;mso-position-horizontal-relative:page;mso-position-vertical-relative:paragraph;z-index:1120" coordorigin="8610,45" coordsize="62,62" path="m8641,45l8629,47,8619,54,8612,64,8610,76,8612,88,8619,98,8629,104,8641,106,8653,104,8663,98,8669,88,8672,76,8669,64,8663,54,8653,47,8641,45xe" filled="true" fillcolor="#000000" stroked="false">
            <v:path arrowok="t"/>
            <v:fill type="solid"/>
            <w10:wrap type="none"/>
          </v:shape>
        </w:pict>
      </w:r>
      <w:hyperlink r:id="rId16">
        <w:r>
          <w:rPr>
            <w:color w:val="003366"/>
          </w:rPr>
          <w:t>Captura de solicitudes en Mesa de</w:t>
        </w:r>
      </w:hyperlink>
      <w:r>
        <w:rPr>
          <w:color w:val="003366"/>
        </w:rPr>
        <w:t> </w:t>
      </w:r>
      <w:hyperlink r:id="rId16">
        <w:r>
          <w:rPr>
            <w:color w:val="003366"/>
          </w:rPr>
          <w:t>Ayuda</w:t>
        </w:r>
      </w:hyperlink>
    </w:p>
    <w:p>
      <w:pPr>
        <w:spacing w:after="0" w:line="249" w:lineRule="auto"/>
        <w:sectPr>
          <w:type w:val="continuous"/>
          <w:pgSz w:w="12240" w:h="15840"/>
          <w:pgMar w:top="940" w:bottom="280" w:left="860" w:right="880"/>
          <w:cols w:num="3" w:equalWidth="0">
            <w:col w:w="4635" w:space="40"/>
            <w:col w:w="3017" w:space="39"/>
            <w:col w:w="2769"/>
          </w:cols>
        </w:sectPr>
      </w:pPr>
    </w:p>
    <w:p>
      <w:pPr>
        <w:pStyle w:val="BodyText"/>
        <w:spacing w:line="386" w:lineRule="auto" w:before="113"/>
        <w:ind w:left="415" w:right="5000"/>
      </w:pPr>
      <w:r>
        <w:rPr/>
        <w:pict>
          <v:shape style="position:absolute;margin-left:54.529999pt;margin-top:7.903913pt;width:3.1pt;height:3.1pt;mso-position-horizontal-relative:page;mso-position-vertical-relative:paragraph;z-index:1168" coordorigin="1091,158" coordsize="62,62" path="m1121,158l1109,161,1100,167,1093,177,1091,189,1093,201,1100,211,1109,217,1121,220,1133,217,1143,211,1150,201,1152,189,1150,177,1143,167,1133,161,1121,1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2.753912pt;width:3.1pt;height:3.1pt;mso-position-horizontal-relative:page;mso-position-vertical-relative:paragraph;z-index:1192" coordorigin="1091,455" coordsize="62,62" path="m1121,455l1109,458,1100,464,1093,474,1091,486,1093,498,1100,508,1109,514,1121,517,1133,514,1143,508,1150,498,1152,486,1150,474,1143,464,1133,458,1121,455xe" filled="true" fillcolor="#000000" stroked="false">
            <v:path arrowok="t"/>
            <v:fill type="solid"/>
            <w10:wrap type="none"/>
          </v:shape>
        </w:pict>
      </w:r>
      <w:hyperlink r:id="rId17">
        <w:r>
          <w:rPr>
            <w:color w:val="003366"/>
          </w:rPr>
          <w:t>Realizar el informe de diagnóstico de Norton Security with Backup.</w:t>
        </w:r>
      </w:hyperlink>
      <w:r>
        <w:rPr>
          <w:color w:val="003366"/>
        </w:rPr>
        <w:t> </w:t>
      </w:r>
      <w:hyperlink r:id="rId18">
        <w:r>
          <w:rPr>
            <w:color w:val="003366"/>
          </w:rPr>
          <w:t>FAQ: Batería de laptop</w:t>
        </w:r>
      </w:hyperlink>
    </w:p>
    <w:p>
      <w:pPr>
        <w:pStyle w:val="BodyText"/>
        <w:spacing w:before="2"/>
        <w:ind w:left="415"/>
      </w:pPr>
      <w:r>
        <w:rPr/>
        <w:pict>
          <v:shape style="position:absolute;margin-left:54.529999pt;margin-top:2.3539pt;width:3.1pt;height:3.1pt;mso-position-horizontal-relative:page;mso-position-vertical-relative:paragraph;z-index:1216" coordorigin="1091,47" coordsize="62,62" path="m1121,47l1109,49,1100,56,1093,66,1091,78,1093,90,1100,100,1109,106,1121,108,1133,106,1143,100,1150,90,1152,78,1150,66,1143,56,1133,49,1121,47xe" filled="true" fillcolor="#000000" stroked="false">
            <v:path arrowok="t"/>
            <v:fill type="solid"/>
            <w10:wrap type="none"/>
          </v:shape>
        </w:pict>
      </w:r>
      <w:hyperlink r:id="rId19">
        <w:r>
          <w:rPr>
            <w:color w:val="003366"/>
          </w:rPr>
          <w:t>VPN TGC</w:t>
        </w:r>
      </w:hyperlink>
    </w:p>
    <w:sectPr>
      <w:type w:val="continuous"/>
      <w:pgSz w:w="12240" w:h="15840"/>
      <w:pgMar w:top="94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0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0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0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0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0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92"/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tgcstudio.jira.com/wiki/display/INGEN/Instalacion%2Bde%2BSW%2Bpor%2BDominio" TargetMode="External"/><Relationship Id="rId12" Type="http://schemas.openxmlformats.org/officeDocument/2006/relationships/hyperlink" Target="https://tgcstudio.jira.com/wiki/display/INGEN/Tunear%2Bel%2Bperformance%2Bdel%2BJDeveloper%2B12.2.1.2" TargetMode="External"/><Relationship Id="rId13" Type="http://schemas.openxmlformats.org/officeDocument/2006/relationships/hyperlink" Target="https://tgcstudio.jira.com/wiki/pages/viewpage.action?pageId=125046159" TargetMode="External"/><Relationship Id="rId14" Type="http://schemas.openxmlformats.org/officeDocument/2006/relationships/hyperlink" Target="https://tgcstudio.jira.com/wiki/pages/viewpage.action?pageId=124719023" TargetMode="External"/><Relationship Id="rId15" Type="http://schemas.openxmlformats.org/officeDocument/2006/relationships/hyperlink" Target="https://tgcstudio.jira.com/wiki/display/INGEN/Multiples%2BListener%2Bpara%2Bbases%2Bde%2Bdatos" TargetMode="External"/><Relationship Id="rId16" Type="http://schemas.openxmlformats.org/officeDocument/2006/relationships/hyperlink" Target="https://tgcstudio.jira.com/wiki/spaces/TMA/pages/50266114/Captura%2Bde%2Bsolicitudes%2Ben%2BMesa%2Bde%2BAyuda" TargetMode="External"/><Relationship Id="rId17" Type="http://schemas.openxmlformats.org/officeDocument/2006/relationships/hyperlink" Target="https://tgcstudio.jira.com/wiki/spaces/TMA/pages/91586578" TargetMode="External"/><Relationship Id="rId18" Type="http://schemas.openxmlformats.org/officeDocument/2006/relationships/hyperlink" Target="https://tgcstudio.jira.com/wiki/spaces/TMA/pages/64749571" TargetMode="External"/><Relationship Id="rId19" Type="http://schemas.openxmlformats.org/officeDocument/2006/relationships/hyperlink" Target="https://tgcstudio.jira.com/wiki/spaces/TMA/pages/49348618/VPN%2BTGC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2019-06-14T18:13:47Z</dcterms:created>
  <dcterms:modified xsi:type="dcterms:W3CDTF">2019-06-14T18:13:47Z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