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INTERPRETASI HASIL ANALISIS KEBUTUHAN</w:t>
      </w:r>
    </w:p>
    <w:p>
      <w:pPr>
        <w:spacing w:after="80"/>
        <w:jc w:val="center"/>
      </w:pPr>
      <w:r>
        <w:rPr>
          <w:b/>
          <w:bCs/>
          <w:color w:val="2E5395"/>
          <w:sz w:val="26"/>
          <w:szCs w:val="26"/>
        </w:rPr>
        <w:t xml:space="preserve">Tenaga Penggerak Olahraga Nasional (TPON)</w:t>
      </w:r>
    </w:p>
    <w:p>
      <w:pPr>
        <w:spacing w:after="360"/>
        <w:jc w:val="center"/>
      </w:pPr>
      <w:r>
        <w:rPr>
          <w:i/>
          <w:iCs/>
          <w:color w:val="595959"/>
          <w:sz w:val="22"/>
          <w:szCs w:val="22"/>
        </w:rPr>
        <w:t xml:space="preserve">Sebagai Dasar Tahap Analysis pada Pengembangan Model Cloud-Participatory Sport Sensing (CPSS)</w:t>
      </w:r>
    </w:p>
    <w:p>
      <w:pPr>
        <w:pStyle w:val="Heading1"/>
      </w:pPr>
      <w:r>
        <w:t xml:space="preserve">1. Pendahuluan</w:t>
      </w:r>
    </w:p>
    <w:p>
      <w:pPr>
        <w:spacing w:after="160"/>
      </w:pPr>
      <w:r>
        <w:t xml:space="preserve">Dokumen ini menyajikan interpretasi atas data baseline yang dikumpulkan dari peserta Pelatihan Tenaga Penggerak Olahraga Nasional (TPON), sebagai bagian dari tahap Analysis pada model pengembangan ADDIE dalam penelitian disertasi “Pengembangan Model Cloud-Participatory Sport Sensing (CPSS) Sebagai Integrasi Data Multidimensi Pembangunan Olahraga Daerah”.</w:t>
      </w:r>
    </w:p>
    <w:p>
      <w:pPr>
        <w:spacing w:after="160"/>
      </w:pPr>
      <w:r>
        <w:t xml:space="preserve">Data dikumpulkan melalui kuesioner daring yang terdiri atas 19 item skala Likert (1–5) dan 4 pertanyaan terbuka. Data berasal dari dua berkas ekspor terpisah dengan total 476 responden valid, tersebar dari berbagai wilayah di Indonesia, tanpa duplikasi identitas responden yang signifikan antar berkas (overlap jawaban terbuka &lt; 1%).</w:t>
      </w:r>
    </w:p>
    <w:p>
      <w:pPr>
        <w:pStyle w:val="Heading1"/>
      </w:pPr>
      <w:r>
        <w:t xml:space="preserve">2. Profil Responden</w:t>
      </w:r>
    </w:p>
    <w:p>
      <w:pPr>
        <w:spacing w:after="160"/>
      </w:pPr>
      <w:r>
        <w:t xml:space="preserve">Distribusi peran responden dalam kegiatan olahraga adalah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Peran</w:t>
            </w:r>
          </w:p>
        </w:tc>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Jumlah</w:t>
            </w:r>
          </w:p>
        </w:tc>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Persentase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Pelatih</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176</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37,0%</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Tenaga penggerak olahraga</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150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31,5%</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Lainnya</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95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20,0%</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Relawan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55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11,6%</w:t>
            </w:r>
          </w:p>
        </w:tc>
      </w:tr>
    </w:tbl>
    <w:p>
      <w:pPr>
        <w:spacing w:after="80"/>
      </w:pPr>
    </w:p>
    <w:p>
      <w:pPr>
        <w:spacing w:after="160"/>
      </w:pPr>
      <w:r>
        <w:t xml:space="preserve">Mayoritas responden (37,0%) berperan sebagai Pelatih, diikuti oleh Tenaga Penggerak Olahraga (31,5%). Komposisi ini relevan untuk desain model CPSS, karena menunjukkan bahwa basis pengguna lapangan tidak homogen: kebutuhan seorang Pelatih (memantau jadwal dan kehadiran binaannya) berpotensi berbeda dari kebutuhan Tenaga Penggerak Olahraga (memetakan kondisi fasilitas dan partisipasi warga secara umum).</w:t>
      </w:r>
    </w:p>
    <w:p>
      <w:pPr>
        <w:spacing w:after="160"/>
      </w:pPr>
      <w:r>
        <w:t xml:space="preserve">Dari sisi lama pengalaman, 240 responden (50,4%) memiliki pengalaman lebih dari 3 tahun, 120 responden (25,2%) kurang dari 1 tahun, dan 116 responden (24,4%) berada pada rentang 1–3 tahun. Separuh responden merupakan praktisi berpengalaman, yang memperkuat validitas masukan kebutuhan fungsional yang mereka sampaikan.</w:t>
      </w:r>
    </w:p>
    <w:p>
      <w:pPr>
        <w:pStyle w:val="Heading1"/>
      </w:pPr>
      <w:r>
        <w:t xml:space="preserve">3. Analisis Kondisi Eksisting Pengelolaan Data</w:t>
      </w:r>
    </w:p>
    <w:p>
      <w:pPr>
        <w:spacing w:after="160"/>
      </w:pPr>
      <w:r>
        <w:t xml:space="preserve">Sembilan item skala Likert mengukur kondisi pengelolaan data olahraga saat ini, sebelum intervensi CPSS: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2160"/>
        <w:gridCol w:w="1740"/>
      </w:tblGrid>
      <w:tr>
        <w:tc>
          <w:tcPr>
            <w:tcW w:type="dxa" w:w="54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Item</w:t>
            </w:r>
          </w:p>
        </w:tc>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Rerata (1–5)</w:t>
            </w:r>
          </w:p>
        </w:tc>
        <w:tc>
          <w:tcPr>
            <w:tcW w:type="dxa" w:w="17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 Setuju (skor 4–5)</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Melakukan pencatatan aktivitas secara rutin</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3,98</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71,8%</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Pencatatan masih dilakukan secara manual</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3,51</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56,1%</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Menggunakan sistem/aplikasi digital</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3,49</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52,1%</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Data terdokumentasi dengan baik</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3,90</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65,5%</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Mudah mengakses kembali data</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3,85</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65,5%</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Mengalami kesulitan mencatat aktivitas</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2,66</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28,2%</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Data sering tidak terdokumentasi dengan baik</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2,74</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30,3%</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Tidak ada sistem terintegrasi untuk pelaporan</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3,05</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39,1%</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Kesulitan memantau perkembangan aktivitas</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2,79</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31,9%</w:t>
            </w:r>
          </w:p>
        </w:tc>
      </w:tr>
    </w:tbl>
    <w:p>
      <w:pPr>
        <w:spacing w:after="80"/>
      </w:pPr>
    </w:p>
    <w:p>
      <w:pPr>
        <w:spacing w:after="160"/>
      </w:pPr>
      <w:r>
        <w:t xml:space="preserve">Pola yang muncul cukup konsisten: responden umumnya merasa sudah melakukan pencatatan secara rutin dan terdokumentasi cukup baik secara individual (skor 3,85–3,98), namun pada saat yang sama mengakui belum adanya sistem terintegrasi untuk pelaporan lintas-pihak (39,1% setuju) dan kesulitan memantau perkembangan dari waktu ke waktu (31,9% setuju). Pengambilan keputusan yang belum berbasis data akurat disetujui oleh 42,4% responden.</w:t>
      </w:r>
    </w:p>
    <w:p>
      <w:pPr>
        <w:spacing w:after="160"/>
      </w:pPr>
      <w:r>
        <w:t xml:space="preserve">Interpretasinya: masalah utama bukan pada ketidakmampuan individu mencatat data, melainkan pada fragmentasi — setiap penggerak olahraga mencatat secara terpisah tanpa muara data yang sama. Temuan ini selaras dengan argumen fragmentasi/siloisasi data yang diangkat pada kajian teori CPSS.</w:t>
      </w:r>
    </w:p>
    <w:p>
      <w:pPr>
        <w:pStyle w:val="Heading1"/>
      </w:pPr>
      <w:r>
        <w:t xml:space="preserve">4. Analisis Kebutuhan dan Kesiapan Adopsi</w:t>
      </w:r>
    </w:p>
    <w:p>
      <w:pPr>
        <w:spacing w:after="160"/>
      </w:pPr>
      <w:r>
        <w:t xml:space="preserve">Sepuluh item berikutnya mengukur kebutuhan terhadap sistem baru dan kesiapan adopsi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2160"/>
        <w:gridCol w:w="1740"/>
      </w:tblGrid>
      <w:tr>
        <w:tc>
          <w:tcPr>
            <w:tcW w:type="dxa" w:w="54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Item</w:t>
            </w:r>
          </w:p>
        </w:tc>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Rerata (1–5)</w:t>
            </w:r>
          </w:p>
        </w:tc>
        <w:tc>
          <w:tcPr>
            <w:tcW w:type="dxa" w:w="17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 Setuju (skor 4–5)</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Membutuhkan sistem digital untuk mencatat aktivitas</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4,49</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87,2%</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Sistem harus mudah digunakan</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4,74</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95,2%</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Sistem harus dapat diakses melalui smartphone</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4,77</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95,8%</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Membutuhkan fitur monitoring perkembangan aktivitas</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4,68</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93,9%</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Membutuhkan sistem yang dapat digunakan real-time</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4,70</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94,3%</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Terbiasa menggunakan smartphone sehari-hari</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4,68</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92,4%</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Mampu menggunakan aplikasi berbasis digital</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4,73</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94,7%</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Siap menggunakan sistem baru untuk pencatatan</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4,76</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96,2%</w:t>
            </w:r>
          </w:p>
        </w:tc>
      </w:tr>
      <w:tr>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Memiliki akses internet yang memadai</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4,68</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93,3%</w:t>
            </w:r>
          </w:p>
        </w:tc>
      </w:tr>
    </w:tbl>
    <w:p>
      <w:pPr>
        <w:spacing w:after="80"/>
      </w:pPr>
    </w:p>
    <w:p>
      <w:pPr>
        <w:spacing w:after="160"/>
      </w:pPr>
      <w:r>
        <w:t xml:space="preserve">Seluruh item pada dimensi ini berada pada rerata di atas 4,4 dengan tingkat persetujuan di atas 87%. Ini adalah temuan paling signifikan dari analisis kebutuhan: tingkat kesiapan adopsi (readiness) jauh lebih tinggi dibandingkan tingkat keluhan terhadap kondisi eksisting (Bagian 3). Dibaca melalui kerangka TAM dan UTAUT yang menjadi rujukan teoretis penelitian ini, responden menunjukkan Perceived Usefulness dan Perceived Ease of Use intention yang sangat tinggi sejak sebelum sistem diperkenalkan, serta Facilitating Conditions yang sudah terpenuhi (akses internet dan kapasitas digital sudah memadai pada lebih dari 92% responden).</w:t>
      </w:r>
    </w:p>
    <w:p>
      <w:pPr>
        <w:spacing w:after="160"/>
      </w:pPr>
      <w:r>
        <w:t xml:space="preserve">Implikasi metodologis: tantangan utama pengembangan model CPSS bukan pada strategi mitigasi resistensi pengguna tahap awal, melainkan pada penyediaan instrumen yang memenuhi ekspektasi kemudahan dan real-time tersebut secara konsisten — sehingga risiko terbesar bergeser ke fase keberlanjutan penggunaan (continuance intention, ECM), bukan fase akuisisi pengguna awal.</w:t>
      </w:r>
    </w:p>
    <w:p>
      <w:pPr>
        <w:pStyle w:val="Heading1"/>
      </w:pPr>
      <w:r>
        <w:t xml:space="preserve">5. Analisis Tematik Pertanyaan Terbuka</w:t>
      </w:r>
    </w:p>
    <w:p>
      <w:pPr>
        <w:spacing w:after="160"/>
      </w:pPr>
      <w:r>
        <w:t xml:space="preserve">Empat pertanyaan terbuka dianalisis secara tematik berdasarkan frekuensi kata kunci yang muncul pada 476 jawaban (klasifikasi tidak saling lepas; satu jawaban dapat memuat lebih dari satu tema).</w:t>
      </w:r>
    </w:p>
    <w:p>
      <w:pPr>
        <w:pStyle w:val="Heading2"/>
      </w:pPr>
      <w:r>
        <w:t xml:space="preserve">5.1 Kendala Terbesar dalam Pengelolaan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Tema</w:t>
            </w:r>
          </w:p>
        </w:tc>
        <w:tc>
          <w:tcPr>
            <w:tcW w:type="dxa" w:w="28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Frekuensi kemunculan</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Kebutuhan sistem yang lebih mudah/sederhana</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71</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Pelaporan tidak praktis/manual</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65</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Penjadwalan kegiatan tidak tertata</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52</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Ketiadaan integrasi antar pencatatan</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37 (+27 “terintegrasi”)</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Ketiadaan fitur monitoring</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22</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Ketiadaan absensi terstruktur</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19</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Keterbatasan jaringan/kuota</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8</w:t>
            </w:r>
          </w:p>
        </w:tc>
      </w:tr>
    </w:tbl>
    <w:p>
      <w:pPr>
        <w:spacing w:after="80"/>
      </w:pPr>
    </w:p>
    <w:p>
      <w:pPr>
        <w:spacing w:after="160"/>
      </w:pPr>
      <w:r>
        <w:t xml:space="preserve">Kendala yang dilaporkan secara konsisten mengarah pada ketiadaan satu wadah terpadu, bukan pada keterbatasan infrastruktur (jaringan hanya disebut 8 kali dari 476 jawaban).</w:t>
      </w:r>
    </w:p>
    <w:p>
      <w:pPr>
        <w:pStyle w:val="Heading2"/>
      </w:pPr>
      <w:r>
        <w:t xml:space="preserve">5.2 Sistem yang Diharapkan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Tema</w:t>
            </w:r>
          </w:p>
        </w:tc>
        <w:tc>
          <w:tcPr>
            <w:tcW w:type="dxa" w:w="28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Frekuensi kemunculan</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Kemudahan penggunaan (mudah/sederhana)</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363 / 153</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Fitur jadwal</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134</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Fitur pelaporan</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119</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Integrasi data (terintegrasi/integrasi)</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102 / 88</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Fitur absensi</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59</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Kesadaran konteks desa/wilayah</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23 (“desa” 20, “wilayah” 3)</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Mode luring/offline</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20</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Dashboard/grafik</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32 / 20</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Verifikasi lokasi via QR</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19</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Notifikasi</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18</w:t>
            </w:r>
          </w:p>
        </w:tc>
      </w:tr>
    </w:tbl>
    <w:p>
      <w:pPr>
        <w:spacing w:after="80"/>
      </w:pPr>
    </w:p>
    <w:p>
      <w:pPr>
        <w:spacing w:after="160"/>
      </w:pPr>
      <w:r>
        <w:t xml:space="preserve">Permintaan paling dominan secara konsisten adalah kesederhanaan (mudah/sederhana muncul pada lebih dari 75% jawaban), bukan kecanggihan fitur. Permintaan kesadaran wilayah (desa/kecamatan) dan moda luring konsisten muncul meski dalam frekuensi lebih kecil — ini relevan dipertimbangkan dalam desain skema basis data CPSS.</w:t>
      </w:r>
    </w:p>
    <w:p>
      <w:pPr>
        <w:pStyle w:val="Heading2"/>
      </w:pPr>
      <w:r>
        <w:t xml:space="preserve">5.3 Fitur yang Paling Dibutuhkan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Tema</w:t>
            </w:r>
          </w:p>
        </w:tc>
        <w:tc>
          <w:tcPr>
            <w:tcW w:type="dxa" w:w="28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Frekuensi kemunculan</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Pelaporan</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185</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Jadwal/kalender</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177 (+14 “kalender”)</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Kemudahan penggunaan</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173</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Absensi</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92</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Notifikasi</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66</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Monitoring</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52</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Grafik/statistik</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50 / 18</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Foto</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44</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Dashboard</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40</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Video</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39</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Komunitas/komunikasi</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34 / 33</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Real-time</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29</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Verifikasi lokasi via QR</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22</w:t>
            </w:r>
          </w:p>
        </w:tc>
      </w:tr>
    </w:tbl>
    <w:p>
      <w:pPr>
        <w:spacing w:after="80"/>
      </w:pPr>
    </w:p>
    <w:p>
      <w:pPr>
        <w:spacing w:after="160"/>
      </w:pPr>
      <w:r>
        <w:t xml:space="preserve">Fitur absensi dan notifikasi menempati posisi tinggi (92 dan 66 kemunculan) namun belum ada presedennya pada modul yang telah dirancang sebelumnya — kedua hal ini perlu menjadi perhatian utama pada tahap Design selanjutnya.</w:t>
      </w:r>
    </w:p>
    <w:p>
      <w:pPr>
        <w:pStyle w:val="Heading2"/>
      </w:pPr>
      <w:r>
        <w:t xml:space="preserve">5.4 Konten yang Ingin Disuguhkan kepada Masyarakat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Tema</w:t>
            </w:r>
          </w:p>
        </w:tc>
        <w:tc>
          <w:tcPr>
            <w:tcW w:type="dxa" w:w="28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left"/>
            </w:pPr>
            <w:r>
              <w:rPr>
                <w:b/>
                <w:bCs/>
                <w:color w:val="FFFFFF"/>
                <w:sz w:val="21"/>
                <w:szCs w:val="21"/>
              </w:rPr>
              <w:t xml:space="preserve">Frekuensi kemunculan</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Kemudahan/kesederhanaan penyajian</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132 / 96</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Profil komunitas/klub</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54</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Dokumentasi foto</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43</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Dokumentasi video</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32</w:t>
            </w:r>
          </w:p>
        </w:tc>
      </w:tr>
      <w:tr>
        <w:tc>
          <w:tcPr>
            <w:tcW w:type="dxa" w:w="6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Konten ringan (mudah diakses, tidak berat)</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b w:val="false"/>
                <w:bCs w:val="false"/>
                <w:color w:val="000000"/>
                <w:sz w:val="21"/>
                <w:szCs w:val="21"/>
              </w:rPr>
              <w:t xml:space="preserve">24</w:t>
            </w:r>
          </w:p>
        </w:tc>
      </w:tr>
    </w:tbl>
    <w:p>
      <w:pPr>
        <w:spacing w:after="80"/>
      </w:pPr>
    </w:p>
    <w:p>
      <w:pPr>
        <w:spacing w:after="160"/>
      </w:pPr>
      <w:r>
        <w:t xml:space="preserve">Pertanyaan ini menyingkap dimensi promotif dari peran Tenaga Penggerak Olahraga: mereka tidak hanya ingin mencatat data, tetapi juga menggunakan platform untuk mengajak masyarakat lebih aktif berolahraga melalui konten visual sederhana. Ini relevan dengan justifikasi gamifikasi dan pengakuan sosial (recognition) pada kerangka NMIPS yang diusulkan dalam penelitian ini.</w:t>
      </w:r>
    </w:p>
    <w:p>
      <w:pPr>
        <w:pStyle w:val="Heading1"/>
      </w:pPr>
      <w:r>
        <w:t xml:space="preserve">6. Sintesis Temuan</w:t>
      </w:r>
    </w:p>
    <w:p>
      <w:pPr>
        <w:pStyle w:val="ListParagraph"/>
        <w:numPr>
          <w:ilvl w:val="0"/>
          <w:numId w:val="2"/>
        </w:numPr>
        <w:spacing w:after="80"/>
      </w:pPr>
      <w:r>
        <w:t xml:space="preserve">Kesenjangan kondisi eksisting bersifat moderat (28–42% melaporkan kesulitan), tetapi kesiapan adopsi sistem baru bersifat hampir mutlak (87–96%) — jendela peluang implementasi sangat terbuka.</w:t>
      </w:r>
    </w:p>
    <w:p>
      <w:pPr>
        <w:pStyle w:val="ListParagraph"/>
        <w:numPr>
          <w:ilvl w:val="0"/>
          <w:numId w:val="2"/>
        </w:numPr>
        <w:spacing w:after="80"/>
      </w:pPr>
      <w:r>
        <w:t xml:space="preserve">Kebutuhan fungsional paling dominan, berurutan: kemudahan penggunaan, pelaporan terstruktur, jadwal/kalender, absensi, notifikasi, dan monitoring/grafik.</w:t>
      </w:r>
    </w:p>
    <w:p>
      <w:pPr>
        <w:pStyle w:val="ListParagraph"/>
        <w:numPr>
          <w:ilvl w:val="0"/>
          <w:numId w:val="2"/>
        </w:numPr>
        <w:spacing w:after="80"/>
      </w:pPr>
      <w:r>
        <w:t xml:space="preserve">Kebutuhan struktural yang konsisten namun bernada lebih halus: kesadaran wilayah administratif (desa/kecamatan) dan moda luring/offline.</w:t>
      </w:r>
    </w:p>
    <w:p>
      <w:pPr>
        <w:pStyle w:val="ListParagraph"/>
        <w:numPr>
          <w:ilvl w:val="0"/>
          <w:numId w:val="2"/>
        </w:numPr>
        <w:spacing w:after="80"/>
      </w:pPr>
      <w:r>
        <w:t xml:space="preserve">Dimensi promotif/sosial (foto, video, pengakuan komunitas) muncul kuat pada pertanyaan keempat, memberi pijakan empiris bagi elemen gamifikasi dan rekayasa perilaku non-moneter yang diusulkan dalam model CPSS.</w:t>
      </w:r>
    </w:p>
    <w:p>
      <w:pPr>
        <w:pStyle w:val="Heading1"/>
      </w:pPr>
      <w:r>
        <w:t xml:space="preserve">7. Keterbatasan Data</w:t>
      </w:r>
    </w:p>
    <w:p>
      <w:pPr>
        <w:pStyle w:val="ListParagraph"/>
        <w:numPr>
          <w:ilvl w:val="0"/>
          <w:numId w:val="2"/>
        </w:numPr>
        <w:spacing w:after="80"/>
      </w:pPr>
      <w:r>
        <w:t xml:space="preserve">Sampel berasal dari peserta Pelatihan TPON sehingga bersifat purposive, bukan probability sampling acak nasional; generalisasi ke seluruh populasi penggerak olahraga di Indonesia perlu dilakukan dengan kehati-hatian.</w:t>
      </w:r>
    </w:p>
    <w:p>
      <w:pPr>
        <w:pStyle w:val="ListParagraph"/>
        <w:numPr>
          <w:ilvl w:val="0"/>
          <w:numId w:val="2"/>
        </w:numPr>
        <w:spacing w:after="80"/>
      </w:pPr>
      <w:r>
        <w:t xml:space="preserve">Seluruh item bersifat self-report, sehingga rentan terhadap social desirability bias, khususnya pada item kesiapan dan kapabilitas digital yang skornya sangat tinggi secara seragam.</w:t>
      </w:r>
    </w:p>
    <w:p>
      <w:pPr>
        <w:pStyle w:val="ListParagraph"/>
        <w:numPr>
          <w:ilvl w:val="0"/>
          <w:numId w:val="2"/>
        </w:numPr>
        <w:spacing w:after="80"/>
      </w:pPr>
      <w:r>
        <w:t xml:space="preserve">Dua berkas data digabungkan berdasarkan kesamaan struktur kuesioner; identitas responden pada berkas kedua bersifat anonim (Response number), sehingga tidak dapat dilakukan pengecekan duplikasi individu secara pasti, meskipun uji kesamaan jawaban terbuka menunjukkan overlap yang sangat rendah (&lt;1%).</w:t>
      </w:r>
    </w:p>
    <w:p>
      <w:pPr>
        <w:pStyle w:val="ListParagraph"/>
        <w:numPr>
          <w:ilvl w:val="0"/>
          <w:numId w:val="2"/>
        </w:numPr>
        <w:spacing w:after="80"/>
      </w:pPr>
      <w:r>
        <w:t xml:space="preserve">Analisis tematik pertanyaan terbuka dilakukan melalui frekuensi kata kunci, bukan melalui pengodean kualitatif berlapis (multi-coder); disarankan dilakukan triangulasi dengan wawancara mendalam apabila dokumen ini akan dirujuk sebagai bukti utama pada Bab IV disertasi.</w:t>
      </w:r>
    </w:p>
    <w:p>
      <w:pPr>
        <w:spacing w:after="80"/>
      </w:pPr>
    </w:p>
    <w:p>
      <w:pPr>
        <w:spacing w:after="80"/>
      </w:pPr>
    </w:p>
    <w:p>
      <w:pPr>
        <w:jc w:val="right"/>
      </w:pPr>
      <w:r>
        <w:rPr>
          <w:i/>
          <w:iCs/>
          <w:color w:val="595959"/>
          <w:sz w:val="20"/>
          <w:szCs w:val="20"/>
        </w:rPr>
        <w:t xml:space="preserve">Surabaya, 20 Juni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2026-06-19T22:51:15.209Z</dcterms:created>
  <dcterms:modified xsi:type="dcterms:W3CDTF">2026-06-19T22:51:15.210Z</dcterms:modified>
</cp:coreProperties>
</file>

<file path=docProps/custom.xml><?xml version="1.0" encoding="utf-8"?>
<Properties xmlns="http://schemas.openxmlformats.org/officeDocument/2006/custom-properties" xmlns:vt="http://schemas.openxmlformats.org/officeDocument/2006/docPropsVTypes"/>
</file>