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H SarabunPSK" w:hAnsi="TH SarabunPSK" w:cs="TH SarabunPSK"/>
          <w:b/>
          <w:sz w:val="36"/>
        </w:rPr>
        <w:t>บทที่ 2</w:t>
        <w:br/>
        <w:t>งานวิจัยและทฤษฎีที่เกี่ยวข้อง</w:t>
      </w:r>
    </w:p>
    <w:p>
      <w:pPr>
        <w:spacing w:before="240" w:after="120"/>
      </w:pPr>
      <w:r>
        <w:rPr>
          <w:rFonts w:ascii="TH SarabunPSK" w:hAnsi="TH SarabunPSK" w:cs="TH SarabunPSK"/>
          <w:b/>
          <w:sz w:val="32"/>
        </w:rPr>
        <w:t>2.1 งานวิจัยที่เกี่ยวข้อง (Related Research)</w:t>
      </w:r>
    </w:p>
    <w:p>
      <w:pPr>
        <w:spacing w:after="120"/>
        <w:ind w:firstLine="720"/>
      </w:pPr>
      <w:r>
        <w:rPr>
          <w:rFonts w:ascii="TH SarabunPSK" w:hAnsi="TH SarabunPSK" w:cs="TH SarabunPSK"/>
          <w:b w:val="0"/>
          <w:sz w:val="32"/>
        </w:rPr>
        <w:t>ผู้วิจัยได้ทำการสืบค้นงานวิจัยและวรรณกรรมที่เกี่ยวข้องกับการพัฒนาระบบสารสนเทศสำหรับการบริหารจัดการกระบวนการขอกำหนดตำแหน่งทางวิชาการในสถาบันอุดมศึกษา โดยทำการสืบค้นเชิงความหมาย (Semantic Search) จากฐานข้อมูลวิชาการกว่า 138 ล้านรายการผ่านเครื่องมือ Elicit ซึ่งครอบคลุมฐานข้อมูล Semantic Scholar และ OpenAlex ด้วยคำค้น "Document and Tracking System for Academic Promotion, College of Computing, Khon Kaen University HR" จากผลการสืบค้นเบื้องต้นจำนวน 50 รายการ ผู้วิจัยได้ดำเนินการคัดกรอง (Screening) ตามเกณฑ์ที่กำหนด อันได้แก่ (1) อยู่ในบริบทอุดมศึกษาและเกี่ยวข้องกับระบบขอกำหนดตำแหน่งทางวิชาการ (2) มีกลุ่มตัวอย่างเป็นบุคลากรสายวิชาการหรือเจ้าหน้าที่ HR (3) เป็นงานวิจัยเชิงประจักษ์ (Empirical Study) (4) รายงานผลด้านความสามารถใช้งานได้ (Usability) ประสิทธิภาพ หรือความพึงพอใจ (5) ไม่ใช่ระบบจัดการนักศึกษาหรือ LMS (6) เน้นระบบสารสนเทศ ไม่ใช่นโยบาย และ (7) เป็นสิ่งพิมพ์ที่มีข้อมูลเชิงประจักษ์ จนได้งานวิจัยที่ผ่านเกณฑ์จำนวน 10 รายการ ดังที่จะนำเสนอในรายละเอียดต่อไปนี้</w:t>
      </w:r>
    </w:p>
    <w:p>
      <w:pPr>
        <w:spacing w:before="240" w:after="120"/>
      </w:pPr>
      <w:r>
        <w:rPr>
          <w:rFonts w:ascii="TH SarabunPSK" w:hAnsi="TH SarabunPSK" w:cs="TH SarabunPSK"/>
          <w:b/>
          <w:sz w:val="32"/>
        </w:rPr>
        <w:t>2.1.1 Freeman et al. (2024) — ระบบจัดการเอกสารเพื่อการเลื่อนตำแหน่งและ Tenure</w:t>
      </w:r>
    </w:p>
    <w:p>
      <w:pPr>
        <w:spacing w:after="120"/>
        <w:ind w:firstLine="720"/>
      </w:pPr>
      <w:r>
        <w:rPr>
          <w:rFonts w:ascii="TH SarabunPSK" w:hAnsi="TH SarabunPSK" w:cs="TH SarabunPSK"/>
          <w:b w:val="0"/>
          <w:sz w:val="32"/>
        </w:rPr>
        <w:t>Freeman, Bornemeier, Poe และคณะ (2024) ได้รายงานผลการพัฒนาและใช้งานฐานข้อมูล PROMO/TE© สำหรับการบริหารจัดการกระบวนการ Promotion and Tenure (P&amp;T) ที่ศูนย์การแพทย์เชิงวิชาการ (Academic Health Center) ทางตะวันตกเฉียงใต้ของสหรัฐอเมริกา ตลอดระยะเวลา 12 ปี ระบบดังกล่าวมีวัตถุประสงค์หลักเพื่อขจัดกระบวนการที่อาศัยเอกสารกระดาษ (Hard Copy Packets) ในการจัดทำ ติดตาม และทบทวนแฟ้มผลงาน (P&amp;T Packet) โดยฟังก์ชันการทำงานครอบคลุมการสร้างแฟ้มผลงาน การติดตามสถานะ และการทบทวนผลงาน ตลอดจนบูรณาการเข้ากับระบบสารสนเทศที่มีอยู่เดิม ได้แก่ ระบบ Workday และ FACFACTS</w:t>
      </w:r>
    </w:p>
    <w:p>
      <w:pPr>
        <w:spacing w:after="120"/>
        <w:ind w:firstLine="720"/>
      </w:pPr>
      <w:r>
        <w:rPr>
          <w:rFonts w:ascii="TH SarabunPSK" w:hAnsi="TH SarabunPSK" w:cs="TH SarabunPSK"/>
          <w:b w:val="0"/>
          <w:sz w:val="32"/>
        </w:rPr>
        <w:t>ผลลัพธ์เชิงปริมาณแสดงให้เห็นว่าระบบสามารถลดต้นทุนการดำเนินงานได้ 217,198 ดอลลาร์สหรัฐต่อปี มีอัตราการอนุมัติ P&amp;T เพิ่มขึ้นร้อยละ 10 จากช่วงก่อนนำระบบมาใช้ และมีการทบทวนแฟ้มผลงานแล้วกว่า 743 แฟ้มตลอด 12 ปี นอกจากนี้ยังช่วยปรับปรุงการสื่อสารระหว่างผู้มีส่วนได้ส่วนเสีย เพิ่มความโปร่งใส และสร้างความเป็นเอกภาพในกระบวนการพิจารณา [1]</w:t>
      </w:r>
    </w:p>
    <w:p>
      <w:pPr>
        <w:spacing w:before="240" w:after="120"/>
      </w:pPr>
      <w:r>
        <w:rPr>
          <w:rFonts w:ascii="TH SarabunPSK" w:hAnsi="TH SarabunPSK" w:cs="TH SarabunPSK"/>
          <w:b/>
          <w:sz w:val="32"/>
        </w:rPr>
        <w:t>2.1.2 Zinampan (2023) — ระบบ HRIS พร้อม Decision Support สำหรับการประเมินและเลื่อนตำแหน่ง</w:t>
      </w:r>
    </w:p>
    <w:p>
      <w:pPr>
        <w:spacing w:after="120"/>
        <w:ind w:firstLine="720"/>
      </w:pPr>
      <w:r>
        <w:rPr>
          <w:rFonts w:ascii="TH SarabunPSK" w:hAnsi="TH SarabunPSK" w:cs="TH SarabunPSK"/>
          <w:b w:val="0"/>
          <w:sz w:val="32"/>
        </w:rPr>
        <w:t>Zinampan (2023) ได้พัฒนาระบบสารสนเทศทรัพยากรบุคคล (HRIS) ที่ผนวกระบบสนับสนุนการตัดสินใจ (Decision Support System) สำหรับการประเมินผลการปฏิบัติงานและการเลื่อนตำแหน่งของคณาจารย์ในมหาวิทยาลัยแห่งหนึ่งในประเทศฟิลิปปินส์ ระบบนี้มีความสามารถในการจำแนกประเภทคณาจารย์ (Faculty Classification) การทำนายผลการปฏิบัติงาน (Performance Prediction) ผ่านเทคนิค Data Mining ประเภท Classification Decision Tree และการตรวจสอบค่าคะแนนเทียบกับมาตรฐาน NBC 461 (National Budget Circular 461) โดยอัตโนมัติ</w:t>
      </w:r>
    </w:p>
    <w:p>
      <w:pPr>
        <w:spacing w:after="120"/>
        <w:ind w:firstLine="720"/>
      </w:pPr>
      <w:r>
        <w:rPr>
          <w:rFonts w:ascii="TH SarabunPSK" w:hAnsi="TH SarabunPSK" w:cs="TH SarabunPSK"/>
          <w:b w:val="0"/>
          <w:sz w:val="32"/>
        </w:rPr>
        <w:t>วิธีการพัฒนาใช้แนวทาง Agile Extreme Programming และดำเนินการประเมินคุณภาพระบบตามมาตรฐาน ISO 25010:2011 ครอบคลุม 8 มิติ ได้แก่ ความเหมาะสมเชิงฟังก์ชัน (Functional Suitability) ประสิทธิภาพ (Performance Efficiency) ความเข้ากันได้ (Compatibility) ความสามารถใช้งานได้ (Usability) ความน่าเชื่อถือ (Reliability) ความปลอดภัย (Security) ความสามารถในการบำรุงรักษา (Maintainability) และความสามารถในการพกพา (Portability) ผลการประเมินได้ค่าเฉลี่ยรวม 4.70 จาก 5 คะแนน โดยมิติ Usability และ Functional Suitability ได้คะแนนสูงสุดที่ 4.78 ส่วน Performance Efficiency ได้คะแนน 4.56 ทั้งนี้ ผู้วิจัยยังเสนอแนะให้มีการบูรณาการกับระบบเงินเดือนและระบบบันทึกเวลาด้วยไบโอเมตริกส์ในอนาคต [4]</w:t>
      </w:r>
    </w:p>
    <w:p>
      <w:pPr>
        <w:spacing w:before="240" w:after="120"/>
      </w:pPr>
      <w:r>
        <w:rPr>
          <w:rFonts w:ascii="TH SarabunPSK" w:hAnsi="TH SarabunPSK" w:cs="TH SarabunPSK"/>
          <w:b/>
          <w:sz w:val="32"/>
        </w:rPr>
        <w:t>2.1.3 Ariza (2024) — ระบบสารสนเทศประเมินหน่วยกิตเพื่อเลื่อนตำแหน่ง</w:t>
      </w:r>
    </w:p>
    <w:p>
      <w:pPr>
        <w:spacing w:after="120"/>
        <w:ind w:firstLine="720"/>
      </w:pPr>
      <w:r>
        <w:rPr>
          <w:rFonts w:ascii="TH SarabunPSK" w:hAnsi="TH SarabunPSK" w:cs="TH SarabunPSK"/>
          <w:b w:val="0"/>
          <w:sz w:val="32"/>
        </w:rPr>
        <w:t>Ariza (2024) ได้ออกแบบระบบสารสนเทศสำหรับการประเมินหน่วยกิต (Angka Kredit / Credit Score) เพื่อการเลื่อนตำแหน่งทางวิชาการของคณาจารย์ ณ คณะตรรบียาห์และอิลมูเกกูรวน มหาวิทยาลัย UIN Bukittinggi ประเทศอินโดนีเซีย ระบบพัฒนาตามแบบจำลอง ADDIE (Analysis, Design, Development, Implementation, Evaluation) โดยมุ่งแก้ปัญหาการเก็บรวบรวมข้อมูลแบบกระดาษทีละแผ่นที่ทำให้เกิดการสะสมและยากต่อการจัดการ</w:t>
      </w:r>
    </w:p>
    <w:p>
      <w:pPr>
        <w:spacing w:after="120"/>
        <w:ind w:firstLine="720"/>
      </w:pPr>
      <w:r>
        <w:rPr>
          <w:rFonts w:ascii="TH SarabunPSK" w:hAnsi="TH SarabunPSK" w:cs="TH SarabunPSK"/>
          <w:b w:val="0"/>
          <w:sz w:val="32"/>
        </w:rPr>
        <w:t>การประเมินระบบแบ่งเป็น 3 มิติ ได้แก่ (1) ด้านความตรง (Validity) โดยผู้เชี่ยวชาญ 3 ท่าน ได้คะแนน 0.75 (2) ด้านความสามารถในทางปฏิบัติ (Practicality) โดยเจ้าหน้าที่และผู้จัดการระบบเลื่อนตำแหน่ง 2 ท่าน ได้คะแนนร้อยละ 80 และ (3) ด้านประสิทธิผล (Effectiveness) โดยคณาจารย์ 4 ท่าน ได้คะแนน 0.91 [5]</w:t>
      </w:r>
    </w:p>
    <w:p>
      <w:pPr>
        <w:spacing w:before="240" w:after="120"/>
      </w:pPr>
      <w:r>
        <w:rPr>
          <w:rFonts w:ascii="TH SarabunPSK" w:hAnsi="TH SarabunPSK" w:cs="TH SarabunPSK"/>
          <w:b/>
          <w:sz w:val="32"/>
        </w:rPr>
        <w:t>2.1.4 Ruslan et al. (2021) — ระบบประเมินเพื่อเลื่อนระดับตำแหน่งอาจารย์</w:t>
      </w:r>
    </w:p>
    <w:p>
      <w:pPr>
        <w:spacing w:after="120"/>
        <w:ind w:firstLine="720"/>
      </w:pPr>
      <w:r>
        <w:rPr>
          <w:rFonts w:ascii="TH SarabunPSK" w:hAnsi="TH SarabunPSK" w:cs="TH SarabunPSK"/>
          <w:b w:val="0"/>
          <w:sz w:val="32"/>
        </w:rPr>
        <w:t>Ruslan, Rahman และ Vitalocca (2021) ได้พัฒนาระบบจัดการเอกสารสำหรับการประเมินเพื่อเลื่อนระดับตำแหน่งของคณาจารย์ในภาควิชาวิศวกรรมไฟฟ้า มหาวิทยาลัยเนกรีมากัสซาร์ ประเทศอินโดนีเซีย พัฒนาตามแนวทาง SDLC แบบ Waterfall บนแพลตฟอร์มเว็บ โดยมุ่งแก้ปัญหาที่อาจารย์ขาดข้อมูลเกี่ยวกับกำหนดเวลาและความเพียงพอของหน่วยกิตสำหรับการเลื่อนตำแหน่ง ตลอดจนความเสี่ยงต่อการสูญหายหรือเสียหายของเอกสาร</w:t>
      </w:r>
    </w:p>
    <w:p>
      <w:pPr>
        <w:spacing w:after="120"/>
        <w:ind w:firstLine="720"/>
      </w:pPr>
      <w:r>
        <w:rPr>
          <w:rFonts w:ascii="TH SarabunPSK" w:hAnsi="TH SarabunPSK" w:cs="TH SarabunPSK"/>
          <w:b w:val="0"/>
          <w:sz w:val="32"/>
        </w:rPr>
        <w:t>การประเมินคุณภาพใช้มาตรฐาน ISO 25010 และ ISO/IEC 20510 ในมิติ Functional Suitability, Performance Efficiency และ Usability โดย Functional Suitability ได้คะแนนเต็ม 1 ซึ่งตีความว่า "ดี" (Good) [2]</w:t>
      </w:r>
    </w:p>
    <w:p>
      <w:pPr>
        <w:spacing w:before="240" w:after="120"/>
      </w:pPr>
      <w:r>
        <w:rPr>
          <w:rFonts w:ascii="TH SarabunPSK" w:hAnsi="TH SarabunPSK" w:cs="TH SarabunPSK"/>
          <w:b/>
          <w:sz w:val="32"/>
        </w:rPr>
        <w:t>2.1.5 Jittavani et al. (2018) — ระบบติดตามงานและประเมินผลการปฏิบัติงาน</w:t>
      </w:r>
    </w:p>
    <w:p>
      <w:pPr>
        <w:spacing w:after="120"/>
        <w:ind w:firstLine="720"/>
      </w:pPr>
      <w:r>
        <w:rPr>
          <w:rFonts w:ascii="TH SarabunPSK" w:hAnsi="TH SarabunPSK" w:cs="TH SarabunPSK"/>
          <w:b w:val="0"/>
          <w:sz w:val="32"/>
        </w:rPr>
        <w:t>Jittavani, Khunrattanasiri และ Kitisin (2018) ได้ออกแบบและพัฒนาระบบติดตามงานและประเมินผลการปฏิบัติงาน (Job Tracking and Assessment System) สำหรับบัณฑิตวิทยาลัยแห่งหนึ่งในประเทศไทย โดยใช้ระเบียบวิธี Agile ร่วมกับหลักการออกแบบ UI/UX ระบบมีความสามารถในการติดตามความก้าวหน้าของงานและใช้ตัวชี้วัดผลการดำเนินงาน (KPIs) สำหรับการประเมินผล ผลการประเมินพบว่าผู้ใช้งานมีความพึงพอใจในระดับ "ดีมาก" (Very Good) ทั้งในด้าน Usability และ Effectiveness [9]</w:t>
      </w:r>
    </w:p>
    <w:p>
      <w:pPr>
        <w:spacing w:before="240" w:after="120"/>
      </w:pPr>
      <w:r>
        <w:rPr>
          <w:rFonts w:ascii="TH SarabunPSK" w:hAnsi="TH SarabunPSK" w:cs="TH SarabunPSK"/>
          <w:b/>
          <w:sz w:val="32"/>
        </w:rPr>
        <w:t>2.1.6 Pusparini et al. (2020) — ระบบจัดการความรู้สำหรับตำแหน่งทางวิชาการ</w:t>
      </w:r>
    </w:p>
    <w:p>
      <w:pPr>
        <w:spacing w:after="120"/>
        <w:ind w:firstLine="720"/>
      </w:pPr>
      <w:r>
        <w:rPr>
          <w:rFonts w:ascii="TH SarabunPSK" w:hAnsi="TH SarabunPSK" w:cs="TH SarabunPSK"/>
          <w:b w:val="0"/>
          <w:sz w:val="32"/>
        </w:rPr>
        <w:t>Pusparini, Budiyantara และ Lusa (2020) ได้ศึกษาอิทธิพลของระบบจัดการความรู้ (Knowledge Management System) ที่มีต่อกระบวนการขอกำหนดตำแหน่งทางวิชาการ โดยประยุกต์ใช้แบบจำลอง SECI (Socialization, Externalization, Combination, Internalization) ของ Nonaka และ Takeuchi สำหรับวิทยาลัยแห่งหนึ่งในประเทศอินโดนีเซีย ผลการศึกษาพบว่ามีเพียงร้อยละ 41.60 ของคณาจารย์ที่มีตำแหน่งทางวิชาการ อันเนื่องมาจากข้อจำกัดด้านข้อมูล</w:t>
      </w:r>
    </w:p>
    <w:p>
      <w:pPr>
        <w:spacing w:after="120"/>
        <w:ind w:firstLine="720"/>
      </w:pPr>
      <w:r>
        <w:rPr>
          <w:rFonts w:ascii="TH SarabunPSK" w:hAnsi="TH SarabunPSK" w:cs="TH SarabunPSK"/>
          <w:b w:val="0"/>
          <w:sz w:val="32"/>
        </w:rPr>
        <w:t>ระบบที่พัฒนาขึ้นมีชื่อว่า "Knowledge Center" สร้างบนแพลตฟอร์มเว็บ มีฟังก์ชันการอัปโหลดและดาวน์โหลดเอกสารตามคำสำคัญ ฟอรัมสำหรับการแลกเปลี่ยนความคิดเห็น ระบบแจ้งข่าวสาร และระบบควบคุมการเข้าถึง 2 ระดับ การประเมินผ่าน User Acceptance Testing (UAT) กับคณาจารย์ 12 ท่าน ด้วยวิธีสุ่มตัวอย่างแบบเจาะจง (Purposive Sampling) ได้อัตราการยอมรับร้อยละ 76 [7]</w:t>
      </w:r>
    </w:p>
    <w:p>
      <w:pPr>
        <w:spacing w:before="240" w:after="120"/>
      </w:pPr>
      <w:r>
        <w:rPr>
          <w:rFonts w:ascii="TH SarabunPSK" w:hAnsi="TH SarabunPSK" w:cs="TH SarabunPSK"/>
          <w:b/>
          <w:sz w:val="32"/>
        </w:rPr>
        <w:t>2.1.7 AlSoufi (2018) — ระบบจัดการความรู้เพื่อติดตามผลงานและเลื่อนตำแหน่ง</w:t>
      </w:r>
    </w:p>
    <w:p>
      <w:pPr>
        <w:spacing w:after="120"/>
        <w:ind w:firstLine="720"/>
      </w:pPr>
      <w:r>
        <w:rPr>
          <w:rFonts w:ascii="TH SarabunPSK" w:hAnsi="TH SarabunPSK" w:cs="TH SarabunPSK"/>
          <w:b w:val="0"/>
          <w:sz w:val="32"/>
        </w:rPr>
        <w:t>AlSoufi (2018) ได้ศึกษาบทบาทของ Big Data ในระบบนิเวศด้านกลยุทธ์และผลการดำเนินงานของมหาวิทยาลัย โดยนำเสนอกรณีศึกษาระบบจัดการความรู้ของวิทยาลัยเทคโนโลยีสารสนเทศ ซึ่งช่วยให้คณาจารย์สามารถกำหนดเป้าหมาย ติดตามผลการดำเนินงานผ่านแดชบอร์ด (Dashboard) ตลอดจนใช้ระบบคะแนน (Point System) สำหรับการวัดผลการปฏิบัติงาน แม้ระบบดังกล่าวจะอยู่ในขั้นนำร่อง (Pilot) และยังไม่มีการรายงานผลเชิงปริมาณ แต่ก็ชี้ให้เห็นถึงศักยภาพในการใช้ข้อมูลขนาดใหญ่เพื่อสนับสนุนกระบวนการเลื่อนตำแหน่ง [8]</w:t>
      </w:r>
    </w:p>
    <w:p>
      <w:pPr>
        <w:spacing w:before="240" w:after="120"/>
      </w:pPr>
      <w:r>
        <w:rPr>
          <w:rFonts w:ascii="TH SarabunPSK" w:hAnsi="TH SarabunPSK" w:cs="TH SarabunPSK"/>
          <w:b/>
          <w:sz w:val="32"/>
        </w:rPr>
        <w:t>2.1.8 Bensi (2024) — ระบบจัดการเอกสารบนอินทราเน็ต</w:t>
      </w:r>
    </w:p>
    <w:p>
      <w:pPr>
        <w:spacing w:after="120"/>
        <w:ind w:firstLine="720"/>
      </w:pPr>
      <w:r>
        <w:rPr>
          <w:rFonts w:ascii="TH SarabunPSK" w:hAnsi="TH SarabunPSK" w:cs="TH SarabunPSK"/>
          <w:b w:val="0"/>
          <w:sz w:val="32"/>
        </w:rPr>
        <w:t>Bensi (2024) ได้พัฒนาระบบจัดการแฟ้มผลงานคณาจารย์บนอินทราเน็ต (Faculty File Management System — FFMS) สำหรับมหาวิทยาลัย NEUST ประเทศฟิลิปปินส์ โดยใช้ SDLC เป็นวิธีการพัฒนา บนเทคโนโลยี Node.js, SQL Server 2008 และ Web Storm 7.0 ระบบมีฟังก์ชันให้คณาจารย์สามารถอัปโหลด อัปเดต และจัดการเอกสารประกอบวิชาชีพ พร้อมทั้งมีมาตรการด้านความปลอดภัย ได้แก่ การเข้ารหัส (Encryption) และการยืนยันตัวตน (User Authentication)</w:t>
      </w:r>
    </w:p>
    <w:p>
      <w:pPr>
        <w:spacing w:after="120"/>
        <w:ind w:firstLine="720"/>
      </w:pPr>
      <w:r>
        <w:rPr>
          <w:rFonts w:ascii="TH SarabunPSK" w:hAnsi="TH SarabunPSK" w:cs="TH SarabunPSK"/>
          <w:b w:val="0"/>
          <w:sz w:val="32"/>
        </w:rPr>
        <w:t>การประเมินระบบดำเนินการกับผู้ตอบแบบสอบถาม 30 ท่าน ประกอบด้วยเจ้าหน้าที่ HR 5 ท่าน ผู้เชี่ยวชาญ IT 5 ท่าน และคณาจารย์ 20 ท่าน ในมิติ Functionality, Accessibility และ Security ผลการประเมินได้ค่าเฉลี่ยในระดับ "ดีเยี่ยม" (Excellent) [3]</w:t>
      </w:r>
    </w:p>
    <w:p>
      <w:pPr>
        <w:spacing w:before="240" w:after="120"/>
      </w:pPr>
      <w:r>
        <w:rPr>
          <w:rFonts w:ascii="TH SarabunPSK" w:hAnsi="TH SarabunPSK" w:cs="TH SarabunPSK"/>
          <w:b/>
          <w:sz w:val="32"/>
        </w:rPr>
        <w:t>2.1.9 Luciano (2020) — ระบบ HRIS สำหรับสถาบันอุดมศึกษาเอกชน</w:t>
      </w:r>
    </w:p>
    <w:p>
      <w:pPr>
        <w:spacing w:after="120"/>
        <w:ind w:firstLine="720"/>
      </w:pPr>
      <w:r>
        <w:rPr>
          <w:rFonts w:ascii="TH SarabunPSK" w:hAnsi="TH SarabunPSK" w:cs="TH SarabunPSK"/>
          <w:b w:val="0"/>
          <w:sz w:val="32"/>
        </w:rPr>
        <w:t>Luciano (2020) ได้ออกแบบและพัฒนาระบบสารสนเทศทรัพยากรบุคคล (HRIS) สำหรับสถาบันอุดมศึกษาเอกชนในประเทศฟิลิปปินส์ โดยมุ่งเน้นกระบวนการจัดลำดับ (Ranking) และการเลื่อนตำแหน่ง (Promotion) ของบุคลากร ใช้ระเบียบวิธีวิจัยเชิงสำรวจเชิงพรรณนา (Descriptive Survey) พร้อมแบบสอบถาม โดยวิเคราะห์ข้อมูลด้วยความถี่ ร้อยละ และค่าเฉลี่ยถ่วงน้ำหนัก อย่างไรก็ตาม การศึกษานี้ไม่ได้รายงานตัวชี้วัดผลการดำเนินงานเชิงปริมาณที่เฉพาะเจาะจง [10]</w:t>
      </w:r>
    </w:p>
    <w:p>
      <w:pPr>
        <w:spacing w:before="240" w:after="120"/>
      </w:pPr>
      <w:r>
        <w:rPr>
          <w:rFonts w:ascii="TH SarabunPSK" w:hAnsi="TH SarabunPSK" w:cs="TH SarabunPSK"/>
          <w:b/>
          <w:sz w:val="32"/>
        </w:rPr>
        <w:t>2.1.10 Alfsai et al. (2023) — ระบบสนับสนุนการตัดสินใจบน Cloud Computing</w:t>
      </w:r>
    </w:p>
    <w:p>
      <w:pPr>
        <w:spacing w:after="120"/>
        <w:ind w:firstLine="720"/>
      </w:pPr>
      <w:r>
        <w:rPr>
          <w:rFonts w:ascii="TH SarabunPSK" w:hAnsi="TH SarabunPSK" w:cs="TH SarabunPSK"/>
          <w:b w:val="0"/>
          <w:sz w:val="32"/>
        </w:rPr>
        <w:t>Alfsai, Bozed และ Hagal (2023) ได้พัฒนาระบบสนับสนุนการตัดสินใจ (Decision Support System) สำหรับการเลื่อนตำแหน่งบุคลากรของมหาวิทยาลัยเบงกาซี ประเทศลิเบีย โดยจัดเก็บระบบบน Cloud Computing เพื่อความยืดหยุ่นและการบริการตนเอง (Self-Service) ระบบใช้วิธี AHP (Analytic Hierarchy Process) สำหรับการประเมินตามเกณฑ์ที่กำหนด และมีเครื่องมือค้นหา (Search Engine) สำหรับตรวจสอบงานวิจัยที่ยื่น [6]</w:t>
      </w:r>
    </w:p>
    <w:p>
      <w:pPr>
        <w:spacing w:before="240" w:after="120"/>
      </w:pPr>
      <w:r>
        <w:rPr>
          <w:rFonts w:ascii="TH SarabunPSK" w:hAnsi="TH SarabunPSK" w:cs="TH SarabunPSK"/>
          <w:b/>
          <w:sz w:val="32"/>
        </w:rPr>
        <w:t>2.1.11 สรุปเปรียบเทียบงานวิจัยที่เกี่ยวข้อง</w:t>
      </w:r>
    </w:p>
    <w:p>
      <w:pPr>
        <w:spacing w:before="240" w:after="120"/>
        <w:jc w:val="center"/>
      </w:pPr>
      <w:r>
        <w:rPr>
          <w:rFonts w:ascii="TH SarabunPSK" w:hAnsi="TH SarabunPSK" w:cs="TH SarabunPSK"/>
          <w:b/>
          <w:sz w:val="32"/>
        </w:rPr>
        <w:t>ตารางที่ 2.1 สรุปเปรียบเทียบงานวิจัยที่เกี่ยวข้อง</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D9E2F3"/>
          </w:tcPr>
          <w:p>
            <w:pPr>
              <w:jc w:val="center"/>
            </w:pPr>
            <w:r/>
            <w:r>
              <w:rPr>
                <w:rFonts w:ascii="TH SarabunPSK" w:hAnsi="TH SarabunPSK" w:cs="TH SarabunPSK"/>
                <w:b/>
                <w:sz w:val="28"/>
              </w:rPr>
              <w:t>ลำดับ</w:t>
            </w:r>
          </w:p>
        </w:tc>
        <w:tc>
          <w:tcPr>
            <w:tcW w:type="dxa" w:w="1500"/>
            <w:shd w:fill="D9E2F3"/>
          </w:tcPr>
          <w:p>
            <w:pPr>
              <w:jc w:val="center"/>
            </w:pPr>
            <w:r/>
            <w:r>
              <w:rPr>
                <w:rFonts w:ascii="TH SarabunPSK" w:hAnsi="TH SarabunPSK" w:cs="TH SarabunPSK"/>
                <w:b/>
                <w:sz w:val="28"/>
              </w:rPr>
              <w:t>ผู้วิจัย (ปี)</w:t>
            </w:r>
          </w:p>
        </w:tc>
        <w:tc>
          <w:tcPr>
            <w:tcW w:type="dxa" w:w="1500"/>
            <w:shd w:fill="D9E2F3"/>
          </w:tcPr>
          <w:p>
            <w:pPr>
              <w:jc w:val="center"/>
            </w:pPr>
            <w:r/>
            <w:r>
              <w:rPr>
                <w:rFonts w:ascii="TH SarabunPSK" w:hAnsi="TH SarabunPSK" w:cs="TH SarabunPSK"/>
                <w:b/>
                <w:sz w:val="28"/>
              </w:rPr>
              <w:t>ประเภทระบบ</w:t>
            </w:r>
          </w:p>
        </w:tc>
        <w:tc>
          <w:tcPr>
            <w:tcW w:type="dxa" w:w="1500"/>
            <w:shd w:fill="D9E2F3"/>
          </w:tcPr>
          <w:p>
            <w:pPr>
              <w:jc w:val="center"/>
            </w:pPr>
            <w:r/>
            <w:r>
              <w:rPr>
                <w:rFonts w:ascii="TH SarabunPSK" w:hAnsi="TH SarabunPSK" w:cs="TH SarabunPSK"/>
                <w:b/>
                <w:sz w:val="28"/>
              </w:rPr>
              <w:t>ประเทศ</w:t>
            </w:r>
          </w:p>
        </w:tc>
        <w:tc>
          <w:tcPr>
            <w:tcW w:type="dxa" w:w="1500"/>
            <w:shd w:fill="D9E2F3"/>
          </w:tcPr>
          <w:p>
            <w:pPr>
              <w:jc w:val="center"/>
            </w:pPr>
            <w:r/>
            <w:r>
              <w:rPr>
                <w:rFonts w:ascii="TH SarabunPSK" w:hAnsi="TH SarabunPSK" w:cs="TH SarabunPSK"/>
                <w:b/>
                <w:sz w:val="28"/>
              </w:rPr>
              <w:t>วิธีการพัฒนา</w:t>
            </w:r>
          </w:p>
        </w:tc>
        <w:tc>
          <w:tcPr>
            <w:tcW w:type="dxa" w:w="1500"/>
            <w:shd w:fill="D9E2F3"/>
          </w:tcPr>
          <w:p>
            <w:pPr>
              <w:jc w:val="center"/>
            </w:pPr>
            <w:r/>
            <w:r>
              <w:rPr>
                <w:rFonts w:ascii="TH SarabunPSK" w:hAnsi="TH SarabunPSK" w:cs="TH SarabunPSK"/>
                <w:b/>
                <w:sz w:val="28"/>
              </w:rPr>
              <w:t>ผลลัพธ์ที่สำคัญ</w:t>
            </w:r>
          </w:p>
        </w:tc>
      </w:tr>
      <w:tr>
        <w:tc>
          <w:tcPr>
            <w:tcW w:type="dxa" w:w="1500"/>
          </w:tcPr>
          <w:p>
            <w:pPr>
              <w:jc w:val="center"/>
            </w:pPr>
            <w:r/>
            <w:r>
              <w:rPr>
                <w:rFonts w:ascii="TH SarabunPSK" w:hAnsi="TH SarabunPSK" w:cs="TH SarabunPSK"/>
                <w:b w:val="0"/>
                <w:sz w:val="28"/>
              </w:rPr>
              <w:t>1</w:t>
            </w:r>
          </w:p>
        </w:tc>
        <w:tc>
          <w:tcPr>
            <w:tcW w:type="dxa" w:w="1500"/>
          </w:tcPr>
          <w:p>
            <w:pPr>
              <w:jc w:val="left"/>
            </w:pPr>
            <w:r/>
            <w:r>
              <w:rPr>
                <w:rFonts w:ascii="TH SarabunPSK" w:hAnsi="TH SarabunPSK" w:cs="TH SarabunPSK"/>
                <w:b w:val="0"/>
                <w:sz w:val="28"/>
              </w:rPr>
              <w:t>Freeman et al. (2024)</w:t>
            </w:r>
          </w:p>
        </w:tc>
        <w:tc>
          <w:tcPr>
            <w:tcW w:type="dxa" w:w="1500"/>
          </w:tcPr>
          <w:p>
            <w:pPr>
              <w:jc w:val="left"/>
            </w:pPr>
            <w:r/>
            <w:r>
              <w:rPr>
                <w:rFonts w:ascii="TH SarabunPSK" w:hAnsi="TH SarabunPSK" w:cs="TH SarabunPSK"/>
                <w:b w:val="0"/>
                <w:sz w:val="28"/>
              </w:rPr>
              <w:t>Document Mgmt</w:t>
            </w:r>
          </w:p>
        </w:tc>
        <w:tc>
          <w:tcPr>
            <w:tcW w:type="dxa" w:w="1500"/>
          </w:tcPr>
          <w:p>
            <w:pPr>
              <w:jc w:val="left"/>
            </w:pPr>
            <w:r/>
            <w:r>
              <w:rPr>
                <w:rFonts w:ascii="TH SarabunPSK" w:hAnsi="TH SarabunPSK" w:cs="TH SarabunPSK"/>
                <w:b w:val="0"/>
                <w:sz w:val="28"/>
              </w:rPr>
              <w:t>สหรัฐอเมริกา</w:t>
            </w:r>
          </w:p>
        </w:tc>
        <w:tc>
          <w:tcPr>
            <w:tcW w:type="dxa" w:w="1500"/>
          </w:tcPr>
          <w:p>
            <w:pPr>
              <w:jc w:val="left"/>
            </w:pPr>
            <w:r/>
            <w:r>
              <w:rPr>
                <w:rFonts w:ascii="TH SarabunPSK" w:hAnsi="TH SarabunPSK" w:cs="TH SarabunPSK"/>
                <w:b w:val="0"/>
                <w:sz w:val="28"/>
              </w:rPr>
              <w:t>ไม่ระบุ</w:t>
            </w:r>
          </w:p>
        </w:tc>
        <w:tc>
          <w:tcPr>
            <w:tcW w:type="dxa" w:w="1500"/>
          </w:tcPr>
          <w:p>
            <w:pPr>
              <w:jc w:val="left"/>
            </w:pPr>
            <w:r/>
            <w:r>
              <w:rPr>
                <w:rFonts w:ascii="TH SarabunPSK" w:hAnsi="TH SarabunPSK" w:cs="TH SarabunPSK"/>
                <w:b w:val="0"/>
                <w:sz w:val="28"/>
              </w:rPr>
              <w:t>ประหยัด $217,198/ปี</w:t>
            </w:r>
          </w:p>
        </w:tc>
      </w:tr>
      <w:tr>
        <w:tc>
          <w:tcPr>
            <w:tcW w:type="dxa" w:w="1500"/>
          </w:tcPr>
          <w:p>
            <w:pPr>
              <w:jc w:val="center"/>
            </w:pPr>
            <w:r/>
            <w:r>
              <w:rPr>
                <w:rFonts w:ascii="TH SarabunPSK" w:hAnsi="TH SarabunPSK" w:cs="TH SarabunPSK"/>
                <w:b w:val="0"/>
                <w:sz w:val="28"/>
              </w:rPr>
              <w:t>2</w:t>
            </w:r>
          </w:p>
        </w:tc>
        <w:tc>
          <w:tcPr>
            <w:tcW w:type="dxa" w:w="1500"/>
          </w:tcPr>
          <w:p>
            <w:pPr>
              <w:jc w:val="left"/>
            </w:pPr>
            <w:r/>
            <w:r>
              <w:rPr>
                <w:rFonts w:ascii="TH SarabunPSK" w:hAnsi="TH SarabunPSK" w:cs="TH SarabunPSK"/>
                <w:b w:val="0"/>
                <w:sz w:val="28"/>
              </w:rPr>
              <w:t>Ruslan et al. (2021)</w:t>
            </w:r>
          </w:p>
        </w:tc>
        <w:tc>
          <w:tcPr>
            <w:tcW w:type="dxa" w:w="1500"/>
          </w:tcPr>
          <w:p>
            <w:pPr>
              <w:jc w:val="left"/>
            </w:pPr>
            <w:r/>
            <w:r>
              <w:rPr>
                <w:rFonts w:ascii="TH SarabunPSK" w:hAnsi="TH SarabunPSK" w:cs="TH SarabunPSK"/>
                <w:b w:val="0"/>
                <w:sz w:val="28"/>
              </w:rPr>
              <w:t>Document Mgmt</w:t>
            </w:r>
          </w:p>
        </w:tc>
        <w:tc>
          <w:tcPr>
            <w:tcW w:type="dxa" w:w="1500"/>
          </w:tcPr>
          <w:p>
            <w:pPr>
              <w:jc w:val="left"/>
            </w:pPr>
            <w:r/>
            <w:r>
              <w:rPr>
                <w:rFonts w:ascii="TH SarabunPSK" w:hAnsi="TH SarabunPSK" w:cs="TH SarabunPSK"/>
                <w:b w:val="0"/>
                <w:sz w:val="28"/>
              </w:rPr>
              <w:t>อินโดนีเซีย</w:t>
            </w:r>
          </w:p>
        </w:tc>
        <w:tc>
          <w:tcPr>
            <w:tcW w:type="dxa" w:w="1500"/>
          </w:tcPr>
          <w:p>
            <w:pPr>
              <w:jc w:val="left"/>
            </w:pPr>
            <w:r/>
            <w:r>
              <w:rPr>
                <w:rFonts w:ascii="TH SarabunPSK" w:hAnsi="TH SarabunPSK" w:cs="TH SarabunPSK"/>
                <w:b w:val="0"/>
                <w:sz w:val="28"/>
              </w:rPr>
              <w:t>Waterfall</w:t>
            </w:r>
          </w:p>
        </w:tc>
        <w:tc>
          <w:tcPr>
            <w:tcW w:type="dxa" w:w="1500"/>
          </w:tcPr>
          <w:p>
            <w:pPr>
              <w:jc w:val="left"/>
            </w:pPr>
            <w:r/>
            <w:r>
              <w:rPr>
                <w:rFonts w:ascii="TH SarabunPSK" w:hAnsi="TH SarabunPSK" w:cs="TH SarabunPSK"/>
                <w:b w:val="0"/>
                <w:sz w:val="28"/>
              </w:rPr>
              <w:t>Func. Suit. = 1</w:t>
            </w:r>
          </w:p>
        </w:tc>
      </w:tr>
      <w:tr>
        <w:tc>
          <w:tcPr>
            <w:tcW w:type="dxa" w:w="1500"/>
          </w:tcPr>
          <w:p>
            <w:pPr>
              <w:jc w:val="center"/>
            </w:pPr>
            <w:r/>
            <w:r>
              <w:rPr>
                <w:rFonts w:ascii="TH SarabunPSK" w:hAnsi="TH SarabunPSK" w:cs="TH SarabunPSK"/>
                <w:b w:val="0"/>
                <w:sz w:val="28"/>
              </w:rPr>
              <w:t>3</w:t>
            </w:r>
          </w:p>
        </w:tc>
        <w:tc>
          <w:tcPr>
            <w:tcW w:type="dxa" w:w="1500"/>
          </w:tcPr>
          <w:p>
            <w:pPr>
              <w:jc w:val="left"/>
            </w:pPr>
            <w:r/>
            <w:r>
              <w:rPr>
                <w:rFonts w:ascii="TH SarabunPSK" w:hAnsi="TH SarabunPSK" w:cs="TH SarabunPSK"/>
                <w:b w:val="0"/>
                <w:sz w:val="28"/>
              </w:rPr>
              <w:t>Bensi (2024)</w:t>
            </w:r>
          </w:p>
        </w:tc>
        <w:tc>
          <w:tcPr>
            <w:tcW w:type="dxa" w:w="1500"/>
          </w:tcPr>
          <w:p>
            <w:pPr>
              <w:jc w:val="left"/>
            </w:pPr>
            <w:r/>
            <w:r>
              <w:rPr>
                <w:rFonts w:ascii="TH SarabunPSK" w:hAnsi="TH SarabunPSK" w:cs="TH SarabunPSK"/>
                <w:b w:val="0"/>
                <w:sz w:val="28"/>
              </w:rPr>
              <w:t>Intranet DMS</w:t>
            </w:r>
          </w:p>
        </w:tc>
        <w:tc>
          <w:tcPr>
            <w:tcW w:type="dxa" w:w="1500"/>
          </w:tcPr>
          <w:p>
            <w:pPr>
              <w:jc w:val="left"/>
            </w:pPr>
            <w:r/>
            <w:r>
              <w:rPr>
                <w:rFonts w:ascii="TH SarabunPSK" w:hAnsi="TH SarabunPSK" w:cs="TH SarabunPSK"/>
                <w:b w:val="0"/>
                <w:sz w:val="28"/>
              </w:rPr>
              <w:t>ฟิลิปปินส์</w:t>
            </w:r>
          </w:p>
        </w:tc>
        <w:tc>
          <w:tcPr>
            <w:tcW w:type="dxa" w:w="1500"/>
          </w:tcPr>
          <w:p>
            <w:pPr>
              <w:jc w:val="left"/>
            </w:pPr>
            <w:r/>
            <w:r>
              <w:rPr>
                <w:rFonts w:ascii="TH SarabunPSK" w:hAnsi="TH SarabunPSK" w:cs="TH SarabunPSK"/>
                <w:b w:val="0"/>
                <w:sz w:val="28"/>
              </w:rPr>
              <w:t>SDLC</w:t>
            </w:r>
          </w:p>
        </w:tc>
        <w:tc>
          <w:tcPr>
            <w:tcW w:type="dxa" w:w="1500"/>
          </w:tcPr>
          <w:p>
            <w:pPr>
              <w:jc w:val="left"/>
            </w:pPr>
            <w:r/>
            <w:r>
              <w:rPr>
                <w:rFonts w:ascii="TH SarabunPSK" w:hAnsi="TH SarabunPSK" w:cs="TH SarabunPSK"/>
                <w:b w:val="0"/>
                <w:sz w:val="28"/>
              </w:rPr>
              <w:t>Excellent Rating</w:t>
            </w:r>
          </w:p>
        </w:tc>
      </w:tr>
      <w:tr>
        <w:tc>
          <w:tcPr>
            <w:tcW w:type="dxa" w:w="1500"/>
          </w:tcPr>
          <w:p>
            <w:pPr>
              <w:jc w:val="center"/>
            </w:pPr>
            <w:r/>
            <w:r>
              <w:rPr>
                <w:rFonts w:ascii="TH SarabunPSK" w:hAnsi="TH SarabunPSK" w:cs="TH SarabunPSK"/>
                <w:b w:val="0"/>
                <w:sz w:val="28"/>
              </w:rPr>
              <w:t>4</w:t>
            </w:r>
          </w:p>
        </w:tc>
        <w:tc>
          <w:tcPr>
            <w:tcW w:type="dxa" w:w="1500"/>
          </w:tcPr>
          <w:p>
            <w:pPr>
              <w:jc w:val="left"/>
            </w:pPr>
            <w:r/>
            <w:r>
              <w:rPr>
                <w:rFonts w:ascii="TH SarabunPSK" w:hAnsi="TH SarabunPSK" w:cs="TH SarabunPSK"/>
                <w:b w:val="0"/>
                <w:sz w:val="28"/>
              </w:rPr>
              <w:t>Zinampan (2023)</w:t>
            </w:r>
          </w:p>
        </w:tc>
        <w:tc>
          <w:tcPr>
            <w:tcW w:type="dxa" w:w="1500"/>
          </w:tcPr>
          <w:p>
            <w:pPr>
              <w:jc w:val="left"/>
            </w:pPr>
            <w:r/>
            <w:r>
              <w:rPr>
                <w:rFonts w:ascii="TH SarabunPSK" w:hAnsi="TH SarabunPSK" w:cs="TH SarabunPSK"/>
                <w:b w:val="0"/>
                <w:sz w:val="28"/>
              </w:rPr>
              <w:t>HRIS + DSS</w:t>
            </w:r>
          </w:p>
        </w:tc>
        <w:tc>
          <w:tcPr>
            <w:tcW w:type="dxa" w:w="1500"/>
          </w:tcPr>
          <w:p>
            <w:pPr>
              <w:jc w:val="left"/>
            </w:pPr>
            <w:r/>
            <w:r>
              <w:rPr>
                <w:rFonts w:ascii="TH SarabunPSK" w:hAnsi="TH SarabunPSK" w:cs="TH SarabunPSK"/>
                <w:b w:val="0"/>
                <w:sz w:val="28"/>
              </w:rPr>
              <w:t>ฟิลิปปินส์</w:t>
            </w:r>
          </w:p>
        </w:tc>
        <w:tc>
          <w:tcPr>
            <w:tcW w:type="dxa" w:w="1500"/>
          </w:tcPr>
          <w:p>
            <w:pPr>
              <w:jc w:val="left"/>
            </w:pPr>
            <w:r/>
            <w:r>
              <w:rPr>
                <w:rFonts w:ascii="TH SarabunPSK" w:hAnsi="TH SarabunPSK" w:cs="TH SarabunPSK"/>
                <w:b w:val="0"/>
                <w:sz w:val="28"/>
              </w:rPr>
              <w:t>Agile XP</w:t>
            </w:r>
          </w:p>
        </w:tc>
        <w:tc>
          <w:tcPr>
            <w:tcW w:type="dxa" w:w="1500"/>
          </w:tcPr>
          <w:p>
            <w:pPr>
              <w:jc w:val="left"/>
            </w:pPr>
            <w:r/>
            <w:r>
              <w:rPr>
                <w:rFonts w:ascii="TH SarabunPSK" w:hAnsi="TH SarabunPSK" w:cs="TH SarabunPSK"/>
                <w:b w:val="0"/>
                <w:sz w:val="28"/>
              </w:rPr>
              <w:t>Score = 4.70/5</w:t>
            </w:r>
          </w:p>
        </w:tc>
      </w:tr>
      <w:tr>
        <w:tc>
          <w:tcPr>
            <w:tcW w:type="dxa" w:w="1500"/>
          </w:tcPr>
          <w:p>
            <w:pPr>
              <w:jc w:val="center"/>
            </w:pPr>
            <w:r/>
            <w:r>
              <w:rPr>
                <w:rFonts w:ascii="TH SarabunPSK" w:hAnsi="TH SarabunPSK" w:cs="TH SarabunPSK"/>
                <w:b w:val="0"/>
                <w:sz w:val="28"/>
              </w:rPr>
              <w:t>5</w:t>
            </w:r>
          </w:p>
        </w:tc>
        <w:tc>
          <w:tcPr>
            <w:tcW w:type="dxa" w:w="1500"/>
          </w:tcPr>
          <w:p>
            <w:pPr>
              <w:jc w:val="left"/>
            </w:pPr>
            <w:r/>
            <w:r>
              <w:rPr>
                <w:rFonts w:ascii="TH SarabunPSK" w:hAnsi="TH SarabunPSK" w:cs="TH SarabunPSK"/>
                <w:b w:val="0"/>
                <w:sz w:val="28"/>
              </w:rPr>
              <w:t>Ariza (2024)</w:t>
            </w:r>
          </w:p>
        </w:tc>
        <w:tc>
          <w:tcPr>
            <w:tcW w:type="dxa" w:w="1500"/>
          </w:tcPr>
          <w:p>
            <w:pPr>
              <w:jc w:val="left"/>
            </w:pPr>
            <w:r/>
            <w:r>
              <w:rPr>
                <w:rFonts w:ascii="TH SarabunPSK" w:hAnsi="TH SarabunPSK" w:cs="TH SarabunPSK"/>
                <w:b w:val="0"/>
                <w:sz w:val="28"/>
              </w:rPr>
              <w:t>Info System</w:t>
            </w:r>
          </w:p>
        </w:tc>
        <w:tc>
          <w:tcPr>
            <w:tcW w:type="dxa" w:w="1500"/>
          </w:tcPr>
          <w:p>
            <w:pPr>
              <w:jc w:val="left"/>
            </w:pPr>
            <w:r/>
            <w:r>
              <w:rPr>
                <w:rFonts w:ascii="TH SarabunPSK" w:hAnsi="TH SarabunPSK" w:cs="TH SarabunPSK"/>
                <w:b w:val="0"/>
                <w:sz w:val="28"/>
              </w:rPr>
              <w:t>อินโดนีเซีย</w:t>
            </w:r>
          </w:p>
        </w:tc>
        <w:tc>
          <w:tcPr>
            <w:tcW w:type="dxa" w:w="1500"/>
          </w:tcPr>
          <w:p>
            <w:pPr>
              <w:jc w:val="left"/>
            </w:pPr>
            <w:r/>
            <w:r>
              <w:rPr>
                <w:rFonts w:ascii="TH SarabunPSK" w:hAnsi="TH SarabunPSK" w:cs="TH SarabunPSK"/>
                <w:b w:val="0"/>
                <w:sz w:val="28"/>
              </w:rPr>
              <w:t>ADDIE</w:t>
            </w:r>
          </w:p>
        </w:tc>
        <w:tc>
          <w:tcPr>
            <w:tcW w:type="dxa" w:w="1500"/>
          </w:tcPr>
          <w:p>
            <w:pPr>
              <w:jc w:val="left"/>
            </w:pPr>
            <w:r/>
            <w:r>
              <w:rPr>
                <w:rFonts w:ascii="TH SarabunPSK" w:hAnsi="TH SarabunPSK" w:cs="TH SarabunPSK"/>
                <w:b w:val="0"/>
                <w:sz w:val="28"/>
              </w:rPr>
              <w:t>Effectiveness = 0.91</w:t>
            </w:r>
          </w:p>
        </w:tc>
      </w:tr>
      <w:tr>
        <w:tc>
          <w:tcPr>
            <w:tcW w:type="dxa" w:w="1500"/>
          </w:tcPr>
          <w:p>
            <w:pPr>
              <w:jc w:val="center"/>
            </w:pPr>
            <w:r/>
            <w:r>
              <w:rPr>
                <w:rFonts w:ascii="TH SarabunPSK" w:hAnsi="TH SarabunPSK" w:cs="TH SarabunPSK"/>
                <w:b w:val="0"/>
                <w:sz w:val="28"/>
              </w:rPr>
              <w:t>6</w:t>
            </w:r>
          </w:p>
        </w:tc>
        <w:tc>
          <w:tcPr>
            <w:tcW w:type="dxa" w:w="1500"/>
          </w:tcPr>
          <w:p>
            <w:pPr>
              <w:jc w:val="left"/>
            </w:pPr>
            <w:r/>
            <w:r>
              <w:rPr>
                <w:rFonts w:ascii="TH SarabunPSK" w:hAnsi="TH SarabunPSK" w:cs="TH SarabunPSK"/>
                <w:b w:val="0"/>
                <w:sz w:val="28"/>
              </w:rPr>
              <w:t>Alfsai et al. (2023)</w:t>
            </w:r>
          </w:p>
        </w:tc>
        <w:tc>
          <w:tcPr>
            <w:tcW w:type="dxa" w:w="1500"/>
          </w:tcPr>
          <w:p>
            <w:pPr>
              <w:jc w:val="left"/>
            </w:pPr>
            <w:r/>
            <w:r>
              <w:rPr>
                <w:rFonts w:ascii="TH SarabunPSK" w:hAnsi="TH SarabunPSK" w:cs="TH SarabunPSK"/>
                <w:b w:val="0"/>
                <w:sz w:val="28"/>
              </w:rPr>
              <w:t>DSS (Cloud)</w:t>
            </w:r>
          </w:p>
        </w:tc>
        <w:tc>
          <w:tcPr>
            <w:tcW w:type="dxa" w:w="1500"/>
          </w:tcPr>
          <w:p>
            <w:pPr>
              <w:jc w:val="left"/>
            </w:pPr>
            <w:r/>
            <w:r>
              <w:rPr>
                <w:rFonts w:ascii="TH SarabunPSK" w:hAnsi="TH SarabunPSK" w:cs="TH SarabunPSK"/>
                <w:b w:val="0"/>
                <w:sz w:val="28"/>
              </w:rPr>
              <w:t>ลิเบีย</w:t>
            </w:r>
          </w:p>
        </w:tc>
        <w:tc>
          <w:tcPr>
            <w:tcW w:type="dxa" w:w="1500"/>
          </w:tcPr>
          <w:p>
            <w:pPr>
              <w:jc w:val="left"/>
            </w:pPr>
            <w:r/>
            <w:r>
              <w:rPr>
                <w:rFonts w:ascii="TH SarabunPSK" w:hAnsi="TH SarabunPSK" w:cs="TH SarabunPSK"/>
                <w:b w:val="0"/>
                <w:sz w:val="28"/>
              </w:rPr>
              <w:t>ไม่ระบุ</w:t>
            </w:r>
          </w:p>
        </w:tc>
        <w:tc>
          <w:tcPr>
            <w:tcW w:type="dxa" w:w="1500"/>
          </w:tcPr>
          <w:p>
            <w:pPr>
              <w:jc w:val="left"/>
            </w:pPr>
            <w:r/>
            <w:r>
              <w:rPr>
                <w:rFonts w:ascii="TH SarabunPSK" w:hAnsi="TH SarabunPSK" w:cs="TH SarabunPSK"/>
                <w:b w:val="0"/>
                <w:sz w:val="28"/>
              </w:rPr>
              <w:t>AHP, Cloud</w:t>
            </w:r>
          </w:p>
        </w:tc>
      </w:tr>
      <w:tr>
        <w:tc>
          <w:tcPr>
            <w:tcW w:type="dxa" w:w="1500"/>
          </w:tcPr>
          <w:p>
            <w:pPr>
              <w:jc w:val="center"/>
            </w:pPr>
            <w:r/>
            <w:r>
              <w:rPr>
                <w:rFonts w:ascii="TH SarabunPSK" w:hAnsi="TH SarabunPSK" w:cs="TH SarabunPSK"/>
                <w:b w:val="0"/>
                <w:sz w:val="28"/>
              </w:rPr>
              <w:t>7</w:t>
            </w:r>
          </w:p>
        </w:tc>
        <w:tc>
          <w:tcPr>
            <w:tcW w:type="dxa" w:w="1500"/>
          </w:tcPr>
          <w:p>
            <w:pPr>
              <w:jc w:val="left"/>
            </w:pPr>
            <w:r/>
            <w:r>
              <w:rPr>
                <w:rFonts w:ascii="TH SarabunPSK" w:hAnsi="TH SarabunPSK" w:cs="TH SarabunPSK"/>
                <w:b w:val="0"/>
                <w:sz w:val="28"/>
              </w:rPr>
              <w:t>Pusparini et al. (2020)</w:t>
            </w:r>
          </w:p>
        </w:tc>
        <w:tc>
          <w:tcPr>
            <w:tcW w:type="dxa" w:w="1500"/>
          </w:tcPr>
          <w:p>
            <w:pPr>
              <w:jc w:val="left"/>
            </w:pPr>
            <w:r/>
            <w:r>
              <w:rPr>
                <w:rFonts w:ascii="TH SarabunPSK" w:hAnsi="TH SarabunPSK" w:cs="TH SarabunPSK"/>
                <w:b w:val="0"/>
                <w:sz w:val="28"/>
              </w:rPr>
              <w:t>KMS</w:t>
            </w:r>
          </w:p>
        </w:tc>
        <w:tc>
          <w:tcPr>
            <w:tcW w:type="dxa" w:w="1500"/>
          </w:tcPr>
          <w:p>
            <w:pPr>
              <w:jc w:val="left"/>
            </w:pPr>
            <w:r/>
            <w:r>
              <w:rPr>
                <w:rFonts w:ascii="TH SarabunPSK" w:hAnsi="TH SarabunPSK" w:cs="TH SarabunPSK"/>
                <w:b w:val="0"/>
                <w:sz w:val="28"/>
              </w:rPr>
              <w:t>อินโดนีเซีย</w:t>
            </w:r>
          </w:p>
        </w:tc>
        <w:tc>
          <w:tcPr>
            <w:tcW w:type="dxa" w:w="1500"/>
          </w:tcPr>
          <w:p>
            <w:pPr>
              <w:jc w:val="left"/>
            </w:pPr>
            <w:r/>
            <w:r>
              <w:rPr>
                <w:rFonts w:ascii="TH SarabunPSK" w:hAnsi="TH SarabunPSK" w:cs="TH SarabunPSK"/>
                <w:b w:val="0"/>
                <w:sz w:val="28"/>
              </w:rPr>
              <w:t>SECI</w:t>
            </w:r>
          </w:p>
        </w:tc>
        <w:tc>
          <w:tcPr>
            <w:tcW w:type="dxa" w:w="1500"/>
          </w:tcPr>
          <w:p>
            <w:pPr>
              <w:jc w:val="left"/>
            </w:pPr>
            <w:r/>
            <w:r>
              <w:rPr>
                <w:rFonts w:ascii="TH SarabunPSK" w:hAnsi="TH SarabunPSK" w:cs="TH SarabunPSK"/>
                <w:b w:val="0"/>
                <w:sz w:val="28"/>
              </w:rPr>
              <w:t>ยอมรับ 76%</w:t>
            </w:r>
          </w:p>
        </w:tc>
      </w:tr>
      <w:tr>
        <w:tc>
          <w:tcPr>
            <w:tcW w:type="dxa" w:w="1500"/>
          </w:tcPr>
          <w:p>
            <w:pPr>
              <w:jc w:val="center"/>
            </w:pPr>
            <w:r/>
            <w:r>
              <w:rPr>
                <w:rFonts w:ascii="TH SarabunPSK" w:hAnsi="TH SarabunPSK" w:cs="TH SarabunPSK"/>
                <w:b w:val="0"/>
                <w:sz w:val="28"/>
              </w:rPr>
              <w:t>8</w:t>
            </w:r>
          </w:p>
        </w:tc>
        <w:tc>
          <w:tcPr>
            <w:tcW w:type="dxa" w:w="1500"/>
          </w:tcPr>
          <w:p>
            <w:pPr>
              <w:jc w:val="left"/>
            </w:pPr>
            <w:r/>
            <w:r>
              <w:rPr>
                <w:rFonts w:ascii="TH SarabunPSK" w:hAnsi="TH SarabunPSK" w:cs="TH SarabunPSK"/>
                <w:b w:val="0"/>
                <w:sz w:val="28"/>
              </w:rPr>
              <w:t>AlSoufi (2018)</w:t>
            </w:r>
          </w:p>
        </w:tc>
        <w:tc>
          <w:tcPr>
            <w:tcW w:type="dxa" w:w="1500"/>
          </w:tcPr>
          <w:p>
            <w:pPr>
              <w:jc w:val="left"/>
            </w:pPr>
            <w:r/>
            <w:r>
              <w:rPr>
                <w:rFonts w:ascii="TH SarabunPSK" w:hAnsi="TH SarabunPSK" w:cs="TH SarabunPSK"/>
                <w:b w:val="0"/>
                <w:sz w:val="28"/>
              </w:rPr>
              <w:t>KMS</w:t>
            </w:r>
          </w:p>
        </w:tc>
        <w:tc>
          <w:tcPr>
            <w:tcW w:type="dxa" w:w="1500"/>
          </w:tcPr>
          <w:p>
            <w:pPr>
              <w:jc w:val="left"/>
            </w:pPr>
            <w:r/>
            <w:r>
              <w:rPr>
                <w:rFonts w:ascii="TH SarabunPSK" w:hAnsi="TH SarabunPSK" w:cs="TH SarabunPSK"/>
                <w:b w:val="0"/>
                <w:sz w:val="28"/>
              </w:rPr>
              <w:t>ไม่ระบุ</w:t>
            </w:r>
          </w:p>
        </w:tc>
        <w:tc>
          <w:tcPr>
            <w:tcW w:type="dxa" w:w="1500"/>
          </w:tcPr>
          <w:p>
            <w:pPr>
              <w:jc w:val="left"/>
            </w:pPr>
            <w:r/>
            <w:r>
              <w:rPr>
                <w:rFonts w:ascii="TH SarabunPSK" w:hAnsi="TH SarabunPSK" w:cs="TH SarabunPSK"/>
                <w:b w:val="0"/>
                <w:sz w:val="28"/>
              </w:rPr>
              <w:t>—</w:t>
            </w:r>
          </w:p>
        </w:tc>
        <w:tc>
          <w:tcPr>
            <w:tcW w:type="dxa" w:w="1500"/>
          </w:tcPr>
          <w:p>
            <w:pPr>
              <w:jc w:val="left"/>
            </w:pPr>
            <w:r/>
            <w:r>
              <w:rPr>
                <w:rFonts w:ascii="TH SarabunPSK" w:hAnsi="TH SarabunPSK" w:cs="TH SarabunPSK"/>
                <w:b w:val="0"/>
                <w:sz w:val="28"/>
              </w:rPr>
              <w:t>Pilot Phase</w:t>
            </w:r>
          </w:p>
        </w:tc>
      </w:tr>
      <w:tr>
        <w:tc>
          <w:tcPr>
            <w:tcW w:type="dxa" w:w="1500"/>
          </w:tcPr>
          <w:p>
            <w:pPr>
              <w:jc w:val="center"/>
            </w:pPr>
            <w:r/>
            <w:r>
              <w:rPr>
                <w:rFonts w:ascii="TH SarabunPSK" w:hAnsi="TH SarabunPSK" w:cs="TH SarabunPSK"/>
                <w:b w:val="0"/>
                <w:sz w:val="28"/>
              </w:rPr>
              <w:t>9</w:t>
            </w:r>
          </w:p>
        </w:tc>
        <w:tc>
          <w:tcPr>
            <w:tcW w:type="dxa" w:w="1500"/>
          </w:tcPr>
          <w:p>
            <w:pPr>
              <w:jc w:val="left"/>
            </w:pPr>
            <w:r/>
            <w:r>
              <w:rPr>
                <w:rFonts w:ascii="TH SarabunPSK" w:hAnsi="TH SarabunPSK" w:cs="TH SarabunPSK"/>
                <w:b w:val="0"/>
                <w:sz w:val="28"/>
              </w:rPr>
              <w:t>Jittavani et al. (2018)</w:t>
            </w:r>
          </w:p>
        </w:tc>
        <w:tc>
          <w:tcPr>
            <w:tcW w:type="dxa" w:w="1500"/>
          </w:tcPr>
          <w:p>
            <w:pPr>
              <w:jc w:val="left"/>
            </w:pPr>
            <w:r/>
            <w:r>
              <w:rPr>
                <w:rFonts w:ascii="TH SarabunPSK" w:hAnsi="TH SarabunPSK" w:cs="TH SarabunPSK"/>
                <w:b w:val="0"/>
                <w:sz w:val="28"/>
              </w:rPr>
              <w:t>HRIS</w:t>
            </w:r>
          </w:p>
        </w:tc>
        <w:tc>
          <w:tcPr>
            <w:tcW w:type="dxa" w:w="1500"/>
          </w:tcPr>
          <w:p>
            <w:pPr>
              <w:jc w:val="left"/>
            </w:pPr>
            <w:r/>
            <w:r>
              <w:rPr>
                <w:rFonts w:ascii="TH SarabunPSK" w:hAnsi="TH SarabunPSK" w:cs="TH SarabunPSK"/>
                <w:b w:val="0"/>
                <w:sz w:val="28"/>
              </w:rPr>
              <w:t>ไทย</w:t>
            </w:r>
          </w:p>
        </w:tc>
        <w:tc>
          <w:tcPr>
            <w:tcW w:type="dxa" w:w="1500"/>
          </w:tcPr>
          <w:p>
            <w:pPr>
              <w:jc w:val="left"/>
            </w:pPr>
            <w:r/>
            <w:r>
              <w:rPr>
                <w:rFonts w:ascii="TH SarabunPSK" w:hAnsi="TH SarabunPSK" w:cs="TH SarabunPSK"/>
                <w:b w:val="0"/>
                <w:sz w:val="28"/>
              </w:rPr>
              <w:t>Agile</w:t>
            </w:r>
          </w:p>
        </w:tc>
        <w:tc>
          <w:tcPr>
            <w:tcW w:type="dxa" w:w="1500"/>
          </w:tcPr>
          <w:p>
            <w:pPr>
              <w:jc w:val="left"/>
            </w:pPr>
            <w:r/>
            <w:r>
              <w:rPr>
                <w:rFonts w:ascii="TH SarabunPSK" w:hAnsi="TH SarabunPSK" w:cs="TH SarabunPSK"/>
                <w:b w:val="0"/>
                <w:sz w:val="28"/>
              </w:rPr>
              <w:t>Very Good</w:t>
            </w:r>
          </w:p>
        </w:tc>
      </w:tr>
      <w:tr>
        <w:tc>
          <w:tcPr>
            <w:tcW w:type="dxa" w:w="1500"/>
          </w:tcPr>
          <w:p>
            <w:pPr>
              <w:jc w:val="center"/>
            </w:pPr>
            <w:r/>
            <w:r>
              <w:rPr>
                <w:rFonts w:ascii="TH SarabunPSK" w:hAnsi="TH SarabunPSK" w:cs="TH SarabunPSK"/>
                <w:b w:val="0"/>
                <w:sz w:val="28"/>
              </w:rPr>
              <w:t>10</w:t>
            </w:r>
          </w:p>
        </w:tc>
        <w:tc>
          <w:tcPr>
            <w:tcW w:type="dxa" w:w="1500"/>
          </w:tcPr>
          <w:p>
            <w:pPr>
              <w:jc w:val="left"/>
            </w:pPr>
            <w:r/>
            <w:r>
              <w:rPr>
                <w:rFonts w:ascii="TH SarabunPSK" w:hAnsi="TH SarabunPSK" w:cs="TH SarabunPSK"/>
                <w:b w:val="0"/>
                <w:sz w:val="28"/>
              </w:rPr>
              <w:t>Luciano (2020)</w:t>
            </w:r>
          </w:p>
        </w:tc>
        <w:tc>
          <w:tcPr>
            <w:tcW w:type="dxa" w:w="1500"/>
          </w:tcPr>
          <w:p>
            <w:pPr>
              <w:jc w:val="left"/>
            </w:pPr>
            <w:r/>
            <w:r>
              <w:rPr>
                <w:rFonts w:ascii="TH SarabunPSK" w:hAnsi="TH SarabunPSK" w:cs="TH SarabunPSK"/>
                <w:b w:val="0"/>
                <w:sz w:val="28"/>
              </w:rPr>
              <w:t>HRIS</w:t>
            </w:r>
          </w:p>
        </w:tc>
        <w:tc>
          <w:tcPr>
            <w:tcW w:type="dxa" w:w="1500"/>
          </w:tcPr>
          <w:p>
            <w:pPr>
              <w:jc w:val="left"/>
            </w:pPr>
            <w:r/>
            <w:r>
              <w:rPr>
                <w:rFonts w:ascii="TH SarabunPSK" w:hAnsi="TH SarabunPSK" w:cs="TH SarabunPSK"/>
                <w:b w:val="0"/>
                <w:sz w:val="28"/>
              </w:rPr>
              <w:t>ฟิลิปปินส์</w:t>
            </w:r>
          </w:p>
        </w:tc>
        <w:tc>
          <w:tcPr>
            <w:tcW w:type="dxa" w:w="1500"/>
          </w:tcPr>
          <w:p>
            <w:pPr>
              <w:jc w:val="left"/>
            </w:pPr>
            <w:r/>
            <w:r>
              <w:rPr>
                <w:rFonts w:ascii="TH SarabunPSK" w:hAnsi="TH SarabunPSK" w:cs="TH SarabunPSK"/>
                <w:b w:val="0"/>
                <w:sz w:val="28"/>
              </w:rPr>
              <w:t>Survey</w:t>
            </w:r>
          </w:p>
        </w:tc>
        <w:tc>
          <w:tcPr>
            <w:tcW w:type="dxa" w:w="1500"/>
          </w:tcPr>
          <w:p>
            <w:pPr>
              <w:jc w:val="left"/>
            </w:pPr>
            <w:r/>
            <w:r>
              <w:rPr>
                <w:rFonts w:ascii="TH SarabunPSK" w:hAnsi="TH SarabunPSK" w:cs="TH SarabunPSK"/>
                <w:b w:val="0"/>
                <w:sz w:val="28"/>
              </w:rPr>
              <w:t>ไม่รายงาน</w:t>
            </w:r>
          </w:p>
        </w:tc>
      </w:tr>
    </w:tbl>
    <w:p/>
    <w:p>
      <w:pPr>
        <w:spacing w:before="240" w:after="120"/>
        <w:jc w:val="center"/>
      </w:pPr>
      <w:r>
        <w:rPr>
          <w:rFonts w:ascii="TH SarabunPSK" w:hAnsi="TH SarabunPSK" w:cs="TH SarabunPSK"/>
          <w:b/>
          <w:sz w:val="32"/>
        </w:rPr>
        <w:t>ตารางที่ 2.2 เปรียบเทียบฟังก์ชันการทำงานของระบบที่เกี่ยวข้อง</w:t>
      </w:r>
    </w:p>
    <w:tbl>
      <w:tblPr>
        <w:tblStyle w:val="TableGrid"/>
        <w:tblW w:type="auto" w:w="0"/>
        <w:jc w:val="center"/>
        <w:tblLook w:firstColumn="1" w:firstRow="1" w:lastColumn="0" w:lastRow="0" w:noHBand="0" w:noVBand="1" w:val="04A0"/>
      </w:tblPr>
      <w:tblGrid>
        <w:gridCol w:w="750"/>
        <w:gridCol w:w="750"/>
        <w:gridCol w:w="750"/>
        <w:gridCol w:w="750"/>
        <w:gridCol w:w="750"/>
        <w:gridCol w:w="750"/>
        <w:gridCol w:w="750"/>
        <w:gridCol w:w="750"/>
        <w:gridCol w:w="750"/>
        <w:gridCol w:w="750"/>
        <w:gridCol w:w="750"/>
        <w:gridCol w:w="750"/>
      </w:tblGrid>
      <w:tr>
        <w:tc>
          <w:tcPr>
            <w:tcW w:type="dxa" w:w="750"/>
            <w:shd w:fill="D9E2F3"/>
          </w:tcPr>
          <w:p>
            <w:pPr>
              <w:jc w:val="center"/>
            </w:pPr>
            <w:r/>
            <w:r>
              <w:rPr>
                <w:rFonts w:ascii="TH SarabunPSK" w:hAnsi="TH SarabunPSK" w:cs="TH SarabunPSK"/>
                <w:b/>
                <w:sz w:val="28"/>
              </w:rPr>
              <w:t>ฟังก์ชัน</w:t>
            </w:r>
          </w:p>
        </w:tc>
        <w:tc>
          <w:tcPr>
            <w:tcW w:type="dxa" w:w="750"/>
            <w:shd w:fill="D9E2F3"/>
          </w:tcPr>
          <w:p>
            <w:pPr>
              <w:jc w:val="center"/>
            </w:pPr>
            <w:r/>
            <w:r>
              <w:rPr>
                <w:rFonts w:ascii="TH SarabunPSK" w:hAnsi="TH SarabunPSK" w:cs="TH SarabunPSK"/>
                <w:b/>
                <w:sz w:val="28"/>
              </w:rPr>
              <w:t>[1]</w:t>
            </w:r>
          </w:p>
        </w:tc>
        <w:tc>
          <w:tcPr>
            <w:tcW w:type="dxa" w:w="750"/>
            <w:shd w:fill="D9E2F3"/>
          </w:tcPr>
          <w:p>
            <w:pPr>
              <w:jc w:val="center"/>
            </w:pPr>
            <w:r/>
            <w:r>
              <w:rPr>
                <w:rFonts w:ascii="TH SarabunPSK" w:hAnsi="TH SarabunPSK" w:cs="TH SarabunPSK"/>
                <w:b/>
                <w:sz w:val="28"/>
              </w:rPr>
              <w:t>[2]</w:t>
            </w:r>
          </w:p>
        </w:tc>
        <w:tc>
          <w:tcPr>
            <w:tcW w:type="dxa" w:w="750"/>
            <w:shd w:fill="D9E2F3"/>
          </w:tcPr>
          <w:p>
            <w:pPr>
              <w:jc w:val="center"/>
            </w:pPr>
            <w:r/>
            <w:r>
              <w:rPr>
                <w:rFonts w:ascii="TH SarabunPSK" w:hAnsi="TH SarabunPSK" w:cs="TH SarabunPSK"/>
                <w:b/>
                <w:sz w:val="28"/>
              </w:rPr>
              <w:t>[3]</w:t>
            </w:r>
          </w:p>
        </w:tc>
        <w:tc>
          <w:tcPr>
            <w:tcW w:type="dxa" w:w="750"/>
            <w:shd w:fill="D9E2F3"/>
          </w:tcPr>
          <w:p>
            <w:pPr>
              <w:jc w:val="center"/>
            </w:pPr>
            <w:r/>
            <w:r>
              <w:rPr>
                <w:rFonts w:ascii="TH SarabunPSK" w:hAnsi="TH SarabunPSK" w:cs="TH SarabunPSK"/>
                <w:b/>
                <w:sz w:val="28"/>
              </w:rPr>
              <w:t>[4]</w:t>
            </w:r>
          </w:p>
        </w:tc>
        <w:tc>
          <w:tcPr>
            <w:tcW w:type="dxa" w:w="750"/>
            <w:shd w:fill="D9E2F3"/>
          </w:tcPr>
          <w:p>
            <w:pPr>
              <w:jc w:val="center"/>
            </w:pPr>
            <w:r/>
            <w:r>
              <w:rPr>
                <w:rFonts w:ascii="TH SarabunPSK" w:hAnsi="TH SarabunPSK" w:cs="TH SarabunPSK"/>
                <w:b/>
                <w:sz w:val="28"/>
              </w:rPr>
              <w:t>[5]</w:t>
            </w:r>
          </w:p>
        </w:tc>
        <w:tc>
          <w:tcPr>
            <w:tcW w:type="dxa" w:w="750"/>
            <w:shd w:fill="D9E2F3"/>
          </w:tcPr>
          <w:p>
            <w:pPr>
              <w:jc w:val="center"/>
            </w:pPr>
            <w:r/>
            <w:r>
              <w:rPr>
                <w:rFonts w:ascii="TH SarabunPSK" w:hAnsi="TH SarabunPSK" w:cs="TH SarabunPSK"/>
                <w:b/>
                <w:sz w:val="28"/>
              </w:rPr>
              <w:t>[6]</w:t>
            </w:r>
          </w:p>
        </w:tc>
        <w:tc>
          <w:tcPr>
            <w:tcW w:type="dxa" w:w="750"/>
            <w:shd w:fill="D9E2F3"/>
          </w:tcPr>
          <w:p>
            <w:pPr>
              <w:jc w:val="center"/>
            </w:pPr>
            <w:r/>
            <w:r>
              <w:rPr>
                <w:rFonts w:ascii="TH SarabunPSK" w:hAnsi="TH SarabunPSK" w:cs="TH SarabunPSK"/>
                <w:b/>
                <w:sz w:val="28"/>
              </w:rPr>
              <w:t>[7]</w:t>
            </w:r>
          </w:p>
        </w:tc>
        <w:tc>
          <w:tcPr>
            <w:tcW w:type="dxa" w:w="750"/>
            <w:shd w:fill="D9E2F3"/>
          </w:tcPr>
          <w:p>
            <w:pPr>
              <w:jc w:val="center"/>
            </w:pPr>
            <w:r/>
            <w:r>
              <w:rPr>
                <w:rFonts w:ascii="TH SarabunPSK" w:hAnsi="TH SarabunPSK" w:cs="TH SarabunPSK"/>
                <w:b/>
                <w:sz w:val="28"/>
              </w:rPr>
              <w:t>[8]</w:t>
            </w:r>
          </w:p>
        </w:tc>
        <w:tc>
          <w:tcPr>
            <w:tcW w:type="dxa" w:w="750"/>
            <w:shd w:fill="D9E2F3"/>
          </w:tcPr>
          <w:p>
            <w:pPr>
              <w:jc w:val="center"/>
            </w:pPr>
            <w:r/>
            <w:r>
              <w:rPr>
                <w:rFonts w:ascii="TH SarabunPSK" w:hAnsi="TH SarabunPSK" w:cs="TH SarabunPSK"/>
                <w:b/>
                <w:sz w:val="28"/>
              </w:rPr>
              <w:t>[9]</w:t>
            </w:r>
          </w:p>
        </w:tc>
        <w:tc>
          <w:tcPr>
            <w:tcW w:type="dxa" w:w="750"/>
            <w:shd w:fill="D9E2F3"/>
          </w:tcPr>
          <w:p>
            <w:pPr>
              <w:jc w:val="center"/>
            </w:pPr>
            <w:r/>
            <w:r>
              <w:rPr>
                <w:rFonts w:ascii="TH SarabunPSK" w:hAnsi="TH SarabunPSK" w:cs="TH SarabunPSK"/>
                <w:b/>
                <w:sz w:val="28"/>
              </w:rPr>
              <w:t>[10]</w:t>
            </w:r>
          </w:p>
        </w:tc>
        <w:tc>
          <w:tcPr>
            <w:tcW w:type="dxa" w:w="750"/>
            <w:shd w:fill="D9E2F3"/>
          </w:tcPr>
          <w:p>
            <w:pPr>
              <w:jc w:val="center"/>
            </w:pPr>
            <w:r/>
            <w:r>
              <w:rPr>
                <w:rFonts w:ascii="TH SarabunPSK" w:hAnsi="TH SarabunPSK" w:cs="TH SarabunPSK"/>
                <w:b/>
                <w:sz w:val="28"/>
              </w:rPr>
              <w:t>HRCP</w:t>
            </w:r>
          </w:p>
        </w:tc>
      </w:tr>
      <w:tr>
        <w:tc>
          <w:tcPr>
            <w:tcW w:type="dxa" w:w="750"/>
          </w:tcPr>
          <w:p>
            <w:pPr>
              <w:jc w:val="center"/>
            </w:pPr>
            <w:r/>
            <w:r>
              <w:rPr>
                <w:rFonts w:ascii="TH SarabunPSK" w:hAnsi="TH SarabunPSK" w:cs="TH SarabunPSK"/>
                <w:b w:val="0"/>
                <w:sz w:val="28"/>
              </w:rPr>
              <w:t>บริหารจัดการเอกสาร</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คำนวณคะแนนอัตโนมัติ</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ติดตามสถานะ Real-time</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สร้าง DOCX/PDF อัตโนมัติ</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แจ้งเตือนอีเมล</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บันทึกฉบับร่างอัตโนมัติ</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รายงานและสถิติ</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ความปลอดภัย/สิทธิ์</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r>
        <w:tc>
          <w:tcPr>
            <w:tcW w:type="dxa" w:w="750"/>
          </w:tcPr>
          <w:p>
            <w:pPr>
              <w:jc w:val="center"/>
            </w:pPr>
            <w:r/>
            <w:r>
              <w:rPr>
                <w:rFonts w:ascii="TH SarabunPSK" w:hAnsi="TH SarabunPSK" w:cs="TH SarabunPSK"/>
                <w:b w:val="0"/>
                <w:sz w:val="28"/>
              </w:rPr>
              <w:t>บูรณาการระบบเดิม</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c>
          <w:tcPr>
            <w:tcW w:type="dxa" w:w="750"/>
          </w:tcPr>
          <w:p>
            <w:pPr>
              <w:jc w:val="left"/>
            </w:pPr>
            <w:r/>
            <w:r>
              <w:rPr>
                <w:rFonts w:ascii="TH SarabunPSK" w:hAnsi="TH SarabunPSK" w:cs="TH SarabunPSK"/>
                <w:b w:val="0"/>
                <w:sz w:val="28"/>
              </w:rPr>
              <w:t>✓</w:t>
            </w:r>
          </w:p>
        </w:tc>
      </w:tr>
    </w:tbl>
    <w:p/>
    <w:p>
      <w:pPr>
        <w:spacing w:after="120"/>
        <w:ind w:firstLine="720"/>
      </w:pPr>
      <w:r>
        <w:rPr>
          <w:rFonts w:ascii="TH SarabunPSK" w:hAnsi="TH SarabunPSK" w:cs="TH SarabunPSK"/>
          <w:b w:val="0"/>
          <w:sz w:val="32"/>
        </w:rPr>
        <w:t>จากการวิเคราะห์เปรียบเทียบข้างต้น สามารถสรุปได้ว่าระบบ HRCP.KKU มีจุดเด่นที่แตกต่างจากงานวิจัยที่ผ่านมา ดังนี้</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การสร้างเอกสาร DOCX อัตโนมัติ (Automated Document Generation):</w:t>
      </w:r>
      <w:r>
        <w:rPr>
          <w:rFonts w:ascii="TH SarabunPSK" w:hAnsi="TH SarabunPSK" w:cs="TH SarabunPSK"/>
          <w:b w:val="0"/>
          <w:sz w:val="32"/>
        </w:rPr>
        <w:t xml:space="preserve"> ไม่มีงานวิจัยใดใน 10 รายการที่สามารถสร้างเอกสารทางราชการในรูปแบบ DOCX จากข้อมูลในระบบได้โดยอัตโนมัติ</w:t>
      </w:r>
    </w:p>
    <w:p>
      <w:pPr>
        <w:pStyle w:val="ListBullet"/>
        <w:spacing w:after="60"/>
        <w:ind w:left="720"/>
      </w:pPr>
      <w:r>
        <w:rPr>
          <w:rFonts w:ascii="TH SarabunPSK" w:hAnsi="TH SarabunPSK" w:cs="TH SarabunPSK"/>
          <w:b w:val="0"/>
          <w:sz w:val="32"/>
        </w:rPr>
      </w:r>
      <w:r>
        <w:rPr>
          <w:rFonts w:ascii="TH SarabunPSK" w:hAnsi="TH SarabunPSK" w:cs="TH SarabunPSK"/>
          <w:b/>
          <w:sz w:val="32"/>
        </w:rPr>
        <w:t>ระบบบันทึกฉบับร่างอัตโนมัติ (Auto Draft Save):</w:t>
      </w:r>
      <w:r>
        <w:rPr>
          <w:rFonts w:ascii="TH SarabunPSK" w:hAnsi="TH SarabunPSK" w:cs="TH SarabunPSK"/>
          <w:b w:val="0"/>
          <w:sz w:val="32"/>
        </w:rPr>
        <w:t xml:space="preserve"> เป็นฟังก์ชันที่ไม่ปรากฏในงานวิจัยที่ทบทวน แต่มีความสำคัญอย่างยิ่งต่อ User Experience</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การครอบคลุมทั้งสองกระบวนการ:</w:t>
      </w:r>
      <w:r>
        <w:rPr>
          <w:rFonts w:ascii="TH SarabunPSK" w:hAnsi="TH SarabunPSK" w:cs="TH SarabunPSK"/>
          <w:b w:val="0"/>
          <w:sz w:val="32"/>
        </w:rPr>
        <w:t xml:space="preserve"> ระบบครอบคลุมทั้งการประเมินผลการสอน (Academic Evaluation) และการขอกำหนดตำแหน่งทางวิชาการ (Position Request) แบบบูรณาการ</w:t>
      </w:r>
    </w:p>
    <w:p>
      <w:pPr>
        <w:pStyle w:val="ListBullet"/>
        <w:spacing w:after="60"/>
        <w:ind w:left="720"/>
      </w:pPr>
      <w:r>
        <w:rPr>
          <w:rFonts w:ascii="TH SarabunPSK" w:hAnsi="TH SarabunPSK" w:cs="TH SarabunPSK"/>
          <w:b w:val="0"/>
          <w:sz w:val="32"/>
        </w:rPr>
      </w:r>
      <w:r>
        <w:rPr>
          <w:rFonts w:ascii="TH SarabunPSK" w:hAnsi="TH SarabunPSK" w:cs="TH SarabunPSK"/>
          <w:b/>
          <w:sz w:val="32"/>
        </w:rPr>
        <w:t>ระบบแจ้งเตือนทางอีเมลตามเหตุการณ์ (Event-Driven Email Notifications):</w:t>
      </w:r>
      <w:r>
        <w:rPr>
          <w:rFonts w:ascii="TH SarabunPSK" w:hAnsi="TH SarabunPSK" w:cs="TH SarabunPSK"/>
          <w:b w:val="0"/>
          <w:sz w:val="32"/>
        </w:rPr>
        <w:t xml:space="preserve"> รองรับการแจ้งเตือนอัตโนมัติเมื่อมีการเปลี่ยนแปลงสถานะ</w:t>
      </w:r>
    </w:p>
    <w:p>
      <w:pPr>
        <w:spacing w:before="240" w:after="120"/>
      </w:pPr>
      <w:r>
        <w:rPr>
          <w:rFonts w:ascii="TH SarabunPSK" w:hAnsi="TH SarabunPSK" w:cs="TH SarabunPSK"/>
          <w:b/>
          <w:sz w:val="32"/>
        </w:rPr>
        <w:t>2.2 หลักการและทฤษฎีที่เกี่ยวข้อง (Principles and Theories)</w:t>
      </w:r>
    </w:p>
    <w:p>
      <w:pPr>
        <w:spacing w:before="240" w:after="120"/>
      </w:pPr>
      <w:r>
        <w:rPr>
          <w:rFonts w:ascii="TH SarabunPSK" w:hAnsi="TH SarabunPSK" w:cs="TH SarabunPSK"/>
          <w:b/>
          <w:sz w:val="32"/>
        </w:rPr>
        <w:t>2.2.1 ระบบสารสนเทศเพื่อการจัดการ (Management Information System — MIS)</w:t>
      </w:r>
    </w:p>
    <w:p>
      <w:pPr>
        <w:spacing w:after="120"/>
        <w:ind w:firstLine="720"/>
      </w:pPr>
      <w:r>
        <w:rPr>
          <w:rFonts w:ascii="TH SarabunPSK" w:hAnsi="TH SarabunPSK" w:cs="TH SarabunPSK"/>
          <w:b w:val="0"/>
          <w:sz w:val="32"/>
        </w:rPr>
        <w:t>ระบบสารสนเทศเพื่อการจัดการ หมายถึง ระบบที่ทำหน้าที่รวบรวม ประมวลผล จัดเก็บ และแจกจ่ายสารสนเทศเพื่อสนับสนุนการตัดสินใจ การประสานงาน การควบคุม การวิเคราะห์ และการมองเห็นภาพรวมขององค์กร (Laudon &amp; Laudon, 2020) องค์ประกอบพื้นฐานของระบบสารสนเทศ ประกอบด้วย (1) ข้อมูลนำเข้า (Input) (2) การประมวลผล (Processing) (3) ข้อมูลส่งออก (Output) (4) ข้อมูลป้อนกลับ (Feedback) และ (5) การจัดเก็บข้อมูล (Storage)</w:t>
      </w:r>
    </w:p>
    <w:p>
      <w:pPr>
        <w:spacing w:after="120"/>
        <w:ind w:firstLine="720"/>
      </w:pPr>
      <w:r>
        <w:rPr>
          <w:rFonts w:ascii="TH SarabunPSK" w:hAnsi="TH SarabunPSK" w:cs="TH SarabunPSK"/>
          <w:b w:val="0"/>
          <w:sz w:val="32"/>
        </w:rPr>
        <w:t>ในบริบทของงานวิจัยนี้ ระบบ HRCP.KKU จัดเป็นระบบสารสนเทศเชิงปฏิบัติการ (Operational Information System) ที่รองรับกระบวนงานด้านการบริหารงานบุคคลทางวิชาการ โดยมีข้อมูลนำเข้าคือแบบฟอร์มคำร้องและเอกสารประกอบ กระบวนการประมวลผลคือการตรวจสอบ จำแนก และส่งต่อตามลำดับขั้น และข้อมูลส่งออกคือรายงานสถานะ เอกสารทางราชการ และสถิติ</w:t>
      </w:r>
    </w:p>
    <w:p>
      <w:pPr>
        <w:spacing w:before="240" w:after="120"/>
      </w:pPr>
      <w:r>
        <w:rPr>
          <w:rFonts w:ascii="TH SarabunPSK" w:hAnsi="TH SarabunPSK" w:cs="TH SarabunPSK"/>
          <w:b/>
          <w:sz w:val="32"/>
        </w:rPr>
        <w:t>2.2.2 วงจรการพัฒนาระบบ (System Development Life Cycle — SDLC)</w:t>
      </w:r>
    </w:p>
    <w:p>
      <w:pPr>
        <w:spacing w:after="120"/>
        <w:ind w:firstLine="720"/>
      </w:pPr>
      <w:r>
        <w:rPr>
          <w:rFonts w:ascii="TH SarabunPSK" w:hAnsi="TH SarabunPSK" w:cs="TH SarabunPSK"/>
          <w:b w:val="0"/>
          <w:sz w:val="32"/>
        </w:rPr>
        <w:t>วงจรการพัฒนาระบบ (SDLC) เป็นกรอบแนวคิดหลักในการพัฒนาระบบสารสนเทศอย่างเป็นระบบ ประกอบด้วยขั้นตอนหลัก 6 ขั้นตอน (Pressman &amp; Maxim, 2020):</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การศึกษาเบื้องต้นและการวิเคราะห์ความต้องการ (Requirement Analysis):</w:t>
      </w:r>
      <w:r>
        <w:rPr>
          <w:rFonts w:ascii="TH SarabunPSK" w:hAnsi="TH SarabunPSK" w:cs="TH SarabunPSK"/>
          <w:b w:val="0"/>
          <w:sz w:val="32"/>
        </w:rPr>
        <w:t xml:space="preserve"> ศึกษาปัญหาของระบบงานเดิม กำหนดความต้องการของผู้ใช้ และขอบเขตของระบบ</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การออกแบบระบบ (System Design):</w:t>
      </w:r>
      <w:r>
        <w:rPr>
          <w:rFonts w:ascii="TH SarabunPSK" w:hAnsi="TH SarabunPSK" w:cs="TH SarabunPSK"/>
          <w:b w:val="0"/>
          <w:sz w:val="32"/>
        </w:rPr>
        <w:t xml:space="preserve"> ออกแบบสถาปัตยกรรม ฐานข้อมูล ส่วนติดต่อผู้ใช้ และกระบวนการทำงาน</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การพัฒนาระบบ (Implementation):</w:t>
      </w:r>
      <w:r>
        <w:rPr>
          <w:rFonts w:ascii="TH SarabunPSK" w:hAnsi="TH SarabunPSK" w:cs="TH SarabunPSK"/>
          <w:b w:val="0"/>
          <w:sz w:val="32"/>
        </w:rPr>
        <w:t xml:space="preserve"> เขียนโปรแกรมตามแบบที่ออกแบบไว้</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การทดสอบระบบ (Testing):</w:t>
      </w:r>
      <w:r>
        <w:rPr>
          <w:rFonts w:ascii="TH SarabunPSK" w:hAnsi="TH SarabunPSK" w:cs="TH SarabunPSK"/>
          <w:b w:val="0"/>
          <w:sz w:val="32"/>
        </w:rPr>
        <w:t xml:space="preserve"> ตรวจสอบความถูกต้องของระบบในทุกมิติ</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การติดตั้งและส่งมอบ (Deployment):</w:t>
      </w:r>
      <w:r>
        <w:rPr>
          <w:rFonts w:ascii="TH SarabunPSK" w:hAnsi="TH SarabunPSK" w:cs="TH SarabunPSK"/>
          <w:b w:val="0"/>
          <w:sz w:val="32"/>
        </w:rPr>
        <w:t xml:space="preserve"> นำระบบไปใช้งานจริง</w:t>
      </w:r>
    </w:p>
    <w:p>
      <w:pPr>
        <w:pStyle w:val="ListBullet"/>
        <w:spacing w:after="60"/>
        <w:ind w:left="720"/>
      </w:pPr>
      <w:r>
        <w:rPr>
          <w:rFonts w:ascii="TH SarabunPSK" w:hAnsi="TH SarabunPSK" w:cs="TH SarabunPSK"/>
          <w:b w:val="0"/>
          <w:sz w:val="32"/>
        </w:rPr>
      </w:r>
      <w:r>
        <w:rPr>
          <w:rFonts w:ascii="TH SarabunPSK" w:hAnsi="TH SarabunPSK" w:cs="TH SarabunPSK"/>
          <w:b/>
          <w:sz w:val="32"/>
        </w:rPr>
        <w:t>การบำรุงรักษา (Maintenance):</w:t>
      </w:r>
      <w:r>
        <w:rPr>
          <w:rFonts w:ascii="TH SarabunPSK" w:hAnsi="TH SarabunPSK" w:cs="TH SarabunPSK"/>
          <w:b w:val="0"/>
          <w:sz w:val="32"/>
        </w:rPr>
        <w:t xml:space="preserve"> ปรับปรุงและแก้ไขระบบหลังการใช้งาน</w:t>
      </w:r>
    </w:p>
    <w:p>
      <w:pPr>
        <w:spacing w:before="240" w:after="120"/>
      </w:pPr>
      <w:r>
        <w:rPr>
          <w:rFonts w:ascii="TH SarabunPSK" w:hAnsi="TH SarabunPSK" w:cs="TH SarabunPSK"/>
          <w:b/>
          <w:sz w:val="32"/>
        </w:rPr>
        <w:t>2.2.3 แผนภาพกระแสข้อมูล (Data Flow Diagram — DFD)</w:t>
      </w:r>
    </w:p>
    <w:p>
      <w:pPr>
        <w:spacing w:after="120"/>
        <w:ind w:firstLine="720"/>
      </w:pPr>
      <w:r>
        <w:rPr>
          <w:rFonts w:ascii="TH SarabunPSK" w:hAnsi="TH SarabunPSK" w:cs="TH SarabunPSK"/>
          <w:b w:val="0"/>
          <w:sz w:val="32"/>
        </w:rPr>
        <w:t>แผนภาพกระแสข้อมูล (Data Flow Diagram) เป็นเครื่องมือสำหรับการแสดงผังการไหลของข้อมูลภายในระบบ พัฒนาขึ้นโดย DeMarco (1979) และ Yourdon (1989) โดยมีองค์ประกอบ 4 ส่วนหลัก:</w:t>
      </w:r>
    </w:p>
    <w:p>
      <w:pPr>
        <w:pStyle w:val="ListBullet"/>
        <w:spacing w:after="60"/>
        <w:ind w:left="720"/>
      </w:pPr>
      <w:r>
        <w:rPr>
          <w:rFonts w:ascii="TH SarabunPSK" w:hAnsi="TH SarabunPSK" w:cs="TH SarabunPSK"/>
          <w:b w:val="0"/>
          <w:sz w:val="32"/>
        </w:rPr>
      </w:r>
      <w:r>
        <w:rPr>
          <w:rFonts w:ascii="TH SarabunPSK" w:hAnsi="TH SarabunPSK" w:cs="TH SarabunPSK"/>
          <w:b/>
          <w:sz w:val="32"/>
        </w:rPr>
        <w:t>สิ่งที่อยู่ภายนอกระบบ (External Entity):</w:t>
      </w:r>
      <w:r>
        <w:rPr>
          <w:rFonts w:ascii="TH SarabunPSK" w:hAnsi="TH SarabunPSK" w:cs="TH SarabunPSK"/>
          <w:b w:val="0"/>
          <w:sz w:val="32"/>
        </w:rPr>
        <w:t xml:space="preserve"> แหล่งข้อมูลหรือปลายทางที่อยู่ภายนอกขอบเขตของระบบ แทนด้วยรูปสี่เหลี่ยม</w:t>
      </w:r>
    </w:p>
    <w:p>
      <w:pPr>
        <w:pStyle w:val="ListBullet"/>
        <w:spacing w:after="60"/>
        <w:ind w:left="720"/>
      </w:pPr>
      <w:r>
        <w:rPr>
          <w:rFonts w:ascii="TH SarabunPSK" w:hAnsi="TH SarabunPSK" w:cs="TH SarabunPSK"/>
          <w:b w:val="0"/>
          <w:sz w:val="32"/>
        </w:rPr>
      </w:r>
      <w:r>
        <w:rPr>
          <w:rFonts w:ascii="TH SarabunPSK" w:hAnsi="TH SarabunPSK" w:cs="TH SarabunPSK"/>
          <w:b/>
          <w:sz w:val="32"/>
        </w:rPr>
        <w:t>กระบวนการ (Process):</w:t>
      </w:r>
      <w:r>
        <w:rPr>
          <w:rFonts w:ascii="TH SarabunPSK" w:hAnsi="TH SarabunPSK" w:cs="TH SarabunPSK"/>
          <w:b w:val="0"/>
          <w:sz w:val="32"/>
        </w:rPr>
        <w:t xml:space="preserve"> การประมวลผลข้อมูลภายในระบบ แทนด้วยรูปวงกลม</w:t>
      </w:r>
    </w:p>
    <w:p>
      <w:pPr>
        <w:pStyle w:val="ListBullet"/>
        <w:spacing w:after="60"/>
        <w:ind w:left="720"/>
      </w:pPr>
      <w:r>
        <w:rPr>
          <w:rFonts w:ascii="TH SarabunPSK" w:hAnsi="TH SarabunPSK" w:cs="TH SarabunPSK"/>
          <w:b w:val="0"/>
          <w:sz w:val="32"/>
        </w:rPr>
      </w:r>
      <w:r>
        <w:rPr>
          <w:rFonts w:ascii="TH SarabunPSK" w:hAnsi="TH SarabunPSK" w:cs="TH SarabunPSK"/>
          <w:b/>
          <w:sz w:val="32"/>
        </w:rPr>
        <w:t>แหล่งจัดเก็บข้อมูล (Data Store):</w:t>
      </w:r>
      <w:r>
        <w:rPr>
          <w:rFonts w:ascii="TH SarabunPSK" w:hAnsi="TH SarabunPSK" w:cs="TH SarabunPSK"/>
          <w:b w:val="0"/>
          <w:sz w:val="32"/>
        </w:rPr>
        <w:t xml:space="preserve"> ที่จัดเก็บข้อมูลภายในระบบ แทนด้วยเส้นขนานเปิดด้านขวา</w:t>
      </w:r>
    </w:p>
    <w:p>
      <w:pPr>
        <w:pStyle w:val="ListBullet"/>
        <w:spacing w:after="60"/>
        <w:ind w:left="720"/>
      </w:pPr>
      <w:r>
        <w:rPr>
          <w:rFonts w:ascii="TH SarabunPSK" w:hAnsi="TH SarabunPSK" w:cs="TH SarabunPSK"/>
          <w:b w:val="0"/>
          <w:sz w:val="32"/>
        </w:rPr>
      </w:r>
      <w:r>
        <w:rPr>
          <w:rFonts w:ascii="TH SarabunPSK" w:hAnsi="TH SarabunPSK" w:cs="TH SarabunPSK"/>
          <w:b/>
          <w:sz w:val="32"/>
        </w:rPr>
        <w:t>กระแสข้อมูล (Data Flow):</w:t>
      </w:r>
      <w:r>
        <w:rPr>
          <w:rFonts w:ascii="TH SarabunPSK" w:hAnsi="TH SarabunPSK" w:cs="TH SarabunPSK"/>
          <w:b w:val="0"/>
          <w:sz w:val="32"/>
        </w:rPr>
        <w:t xml:space="preserve"> ทิศทางการไหลของข้อมูลระหว่างองค์ประกอบ แทนด้วยลูกศร</w:t>
      </w:r>
    </w:p>
    <w:p>
      <w:pPr>
        <w:spacing w:after="120"/>
        <w:ind w:firstLine="720"/>
      </w:pPr>
      <w:r>
        <w:rPr>
          <w:rFonts w:ascii="TH SarabunPSK" w:hAnsi="TH SarabunPSK" w:cs="TH SarabunPSK"/>
          <w:b w:val="0"/>
          <w:sz w:val="32"/>
        </w:rPr>
        <w:t>DFD แบ่งออกเป็นหลายระดับ ได้แก่ Level 0 (Context Diagram) แสดงภาพรวมทั้งหมดเป็นกระบวนการเดียว, Level 1 แตกกระบวนการหลักออกเป็นกระบวนการย่อย, และ Level 2 แตกรายละเอียดของแต่ละกระบวนการจาก Level 1</w:t>
      </w:r>
    </w:p>
    <w:p>
      <w:pPr>
        <w:spacing w:before="240" w:after="120"/>
      </w:pPr>
      <w:r>
        <w:rPr>
          <w:rFonts w:ascii="TH SarabunPSK" w:hAnsi="TH SarabunPSK" w:cs="TH SarabunPSK"/>
          <w:b/>
          <w:sz w:val="32"/>
        </w:rPr>
        <w:t>2.2.4 แผนภาพ ER (Entity-Relationship Diagram)</w:t>
      </w:r>
    </w:p>
    <w:p>
      <w:pPr>
        <w:spacing w:after="120"/>
        <w:ind w:firstLine="720"/>
      </w:pPr>
      <w:r>
        <w:rPr>
          <w:rFonts w:ascii="TH SarabunPSK" w:hAnsi="TH SarabunPSK" w:cs="TH SarabunPSK"/>
          <w:b w:val="0"/>
          <w:sz w:val="32"/>
        </w:rPr>
        <w:t>แผนภาพ ER (Entity-Relationship Diagram) เป็นเครื่องมือสำหรับการออกแบบฐานข้อมูลเชิงสัมพันธ์ พัฒนาโดย Chen (1976) ประกอบด้วยองค์ประกอบหลัก 3 ส่วน ได้แก่ เอนทิตี (Entity) แอตทริบิวต์ (Attribute) และความสัมพันธ์ (Relationship) ในระบบ HRCP.KKU เอนทิตีหลัก ได้แก่ UserDtls, AcademicRequest, AcademicDocument, PositionRequest, PositionDocument, Petition, StaffMember, RequestStatusHistory และ AdminLog</w:t>
      </w:r>
    </w:p>
    <w:p>
      <w:pPr>
        <w:spacing w:before="240" w:after="120"/>
      </w:pPr>
      <w:r>
        <w:rPr>
          <w:rFonts w:ascii="TH SarabunPSK" w:hAnsi="TH SarabunPSK" w:cs="TH SarabunPSK"/>
          <w:b/>
          <w:sz w:val="32"/>
        </w:rPr>
        <w:t>2.2.5 สถาปัตยกรรมแบบ MVC (Model-View-Controller Architecture)</w:t>
      </w:r>
    </w:p>
    <w:p>
      <w:pPr>
        <w:spacing w:after="120"/>
        <w:ind w:firstLine="720"/>
      </w:pPr>
      <w:r>
        <w:rPr>
          <w:rFonts w:ascii="TH SarabunPSK" w:hAnsi="TH SarabunPSK" w:cs="TH SarabunPSK"/>
          <w:b w:val="0"/>
          <w:sz w:val="32"/>
        </w:rPr>
        <w:t>สถาปัตยกรรม MVC เป็นรูปแบบการออกแบบซอฟต์แวร์ (Architectural Pattern) ที่แบ่งโครงสร้างแอปพลิเคชันออกเป็น 3 ส่วนหลัก (Gamma et al., 1994):</w:t>
      </w:r>
    </w:p>
    <w:p>
      <w:pPr>
        <w:pStyle w:val="ListBullet"/>
        <w:spacing w:after="60"/>
        <w:ind w:left="720"/>
      </w:pPr>
      <w:r>
        <w:rPr>
          <w:rFonts w:ascii="TH SarabunPSK" w:hAnsi="TH SarabunPSK" w:cs="TH SarabunPSK"/>
          <w:b w:val="0"/>
          <w:sz w:val="32"/>
        </w:rPr>
      </w:r>
      <w:r>
        <w:rPr>
          <w:rFonts w:ascii="TH SarabunPSK" w:hAnsi="TH SarabunPSK" w:cs="TH SarabunPSK"/>
          <w:b/>
          <w:sz w:val="32"/>
        </w:rPr>
        <w:t>Model:</w:t>
      </w:r>
      <w:r>
        <w:rPr>
          <w:rFonts w:ascii="TH SarabunPSK" w:hAnsi="TH SarabunPSK" w:cs="TH SarabunPSK"/>
          <w:b w:val="0"/>
          <w:sz w:val="32"/>
        </w:rPr>
        <w:t xml:space="preserve"> จัดการข้อมูลและตรรกะทางธุรกิจ (Business Logic) ในระบบ HRCP.KKU หมายถึง Entity Classes ที่แมปกับตารางในฐานข้อมูล</w:t>
      </w:r>
    </w:p>
    <w:p>
      <w:pPr>
        <w:pStyle w:val="ListBullet"/>
        <w:spacing w:after="60"/>
        <w:ind w:left="720"/>
      </w:pPr>
      <w:r>
        <w:rPr>
          <w:rFonts w:ascii="TH SarabunPSK" w:hAnsi="TH SarabunPSK" w:cs="TH SarabunPSK"/>
          <w:b w:val="0"/>
          <w:sz w:val="32"/>
        </w:rPr>
      </w:r>
      <w:r>
        <w:rPr>
          <w:rFonts w:ascii="TH SarabunPSK" w:hAnsi="TH SarabunPSK" w:cs="TH SarabunPSK"/>
          <w:b/>
          <w:sz w:val="32"/>
        </w:rPr>
        <w:t>View:</w:t>
      </w:r>
      <w:r>
        <w:rPr>
          <w:rFonts w:ascii="TH SarabunPSK" w:hAnsi="TH SarabunPSK" w:cs="TH SarabunPSK"/>
          <w:b w:val="0"/>
          <w:sz w:val="32"/>
        </w:rPr>
        <w:t xml:space="preserve"> ส่วนแสดงผลหรือส่วนติดต่อผู้ใช้ (User Interface) ในระบบนี้ใช้ Thymeleaf Template Engine</w:t>
      </w:r>
    </w:p>
    <w:p>
      <w:pPr>
        <w:pStyle w:val="ListBullet"/>
        <w:spacing w:after="60"/>
        <w:ind w:left="720"/>
      </w:pPr>
      <w:r>
        <w:rPr>
          <w:rFonts w:ascii="TH SarabunPSK" w:hAnsi="TH SarabunPSK" w:cs="TH SarabunPSK"/>
          <w:b w:val="0"/>
          <w:sz w:val="32"/>
        </w:rPr>
      </w:r>
      <w:r>
        <w:rPr>
          <w:rFonts w:ascii="TH SarabunPSK" w:hAnsi="TH SarabunPSK" w:cs="TH SarabunPSK"/>
          <w:b/>
          <w:sz w:val="32"/>
        </w:rPr>
        <w:t>Controller:</w:t>
      </w:r>
      <w:r>
        <w:rPr>
          <w:rFonts w:ascii="TH SarabunPSK" w:hAnsi="TH SarabunPSK" w:cs="TH SarabunPSK"/>
          <w:b w:val="0"/>
          <w:sz w:val="32"/>
        </w:rPr>
        <w:t xml:space="preserve"> ส่วนควบคุมที่เชื่อมต่อระหว่าง Model และ View ทำหน้าที่รับคำสั่งจากผู้ใช้และประสานงานการประมวลผล</w:t>
      </w:r>
    </w:p>
    <w:p>
      <w:pPr>
        <w:spacing w:before="240" w:after="120"/>
      </w:pPr>
      <w:r>
        <w:rPr>
          <w:rFonts w:ascii="TH SarabunPSK" w:hAnsi="TH SarabunPSK" w:cs="TH SarabunPSK"/>
          <w:b/>
          <w:sz w:val="32"/>
        </w:rPr>
        <w:t>2.2.6 Spring Boot Framework</w:t>
      </w:r>
    </w:p>
    <w:p>
      <w:pPr>
        <w:spacing w:after="120"/>
        <w:ind w:firstLine="720"/>
      </w:pPr>
      <w:r>
        <w:rPr>
          <w:rFonts w:ascii="TH SarabunPSK" w:hAnsi="TH SarabunPSK" w:cs="TH SarabunPSK"/>
          <w:b w:val="0"/>
          <w:sz w:val="32"/>
        </w:rPr>
        <w:t>Spring Boot เป็นเฟรมเวิร์กสำหรับพัฒนาเว็บแอปพลิเคชันบนภาษา Java พัฒนาโดย Pivotal (ปัจจุบันคือ VMware) มีจุดเด่นที่สำคัญ ได้แก่ Auto-Configuration ที่กำหนดค่าเริ่มต้นอัตโนมัติ, Embedded Server (Tomcat) ที่มาพร้อมในตัว, Spring Data JPA สำหรับการเข้าถึงฐานข้อมูลผ่าน ORM, Spring Security สำหรับจัดการระบบยืนยันตัวตนและการอนุญาต, และ Spring MVC สำหรับจัดการ HTTP Request/Response (Walls, 2019)</w:t>
      </w:r>
    </w:p>
    <w:p>
      <w:pPr>
        <w:spacing w:before="240" w:after="120"/>
      </w:pPr>
      <w:r>
        <w:rPr>
          <w:rFonts w:ascii="TH SarabunPSK" w:hAnsi="TH SarabunPSK" w:cs="TH SarabunPSK"/>
          <w:b/>
          <w:sz w:val="32"/>
        </w:rPr>
        <w:t>2.2.7 Thymeleaf Template Engine</w:t>
      </w:r>
    </w:p>
    <w:p>
      <w:pPr>
        <w:spacing w:after="120"/>
        <w:ind w:firstLine="720"/>
      </w:pPr>
      <w:r>
        <w:rPr>
          <w:rFonts w:ascii="TH SarabunPSK" w:hAnsi="TH SarabunPSK" w:cs="TH SarabunPSK"/>
          <w:b w:val="0"/>
          <w:sz w:val="32"/>
        </w:rPr>
        <w:t>Thymeleaf เป็น Java Template Engine ฝั่งเซิร์ฟเวอร์ (Server-Side) ที่ออกแบบมาเพื่อสร้างหน้าเว็บ HTML แบบไดนามิก มีจุดเด่นคือสามารถทำงานร่วมกับ Spring Boot ได้อย่างราบรื่น โดยใช้ Natural Templates ที่สามารถเปิดดูในเบราว์เซอร์ได้โดยตรง คุณสมบัติสำคัญ ได้แก่ Expression Language (${...}), Iteration (th:each), Conditional Rendering (th:if, th:unless) และ Fragment Inclusion (th:fragment, th:insert) (Thymeleaf.org, 2023)</w:t>
      </w:r>
    </w:p>
    <w:p>
      <w:pPr>
        <w:spacing w:before="240" w:after="120"/>
      </w:pPr>
      <w:r>
        <w:rPr>
          <w:rFonts w:ascii="TH SarabunPSK" w:hAnsi="TH SarabunPSK" w:cs="TH SarabunPSK"/>
          <w:b/>
          <w:sz w:val="32"/>
        </w:rPr>
        <w:t>2.2.8 ระบบจัดการฐานข้อมูลเชิงสัมพันธ์ (RDBMS) และ MySQL</w:t>
      </w:r>
    </w:p>
    <w:p>
      <w:pPr>
        <w:spacing w:after="120"/>
        <w:ind w:firstLine="720"/>
      </w:pPr>
      <w:r>
        <w:rPr>
          <w:rFonts w:ascii="TH SarabunPSK" w:hAnsi="TH SarabunPSK" w:cs="TH SarabunPSK"/>
          <w:b w:val="0"/>
          <w:sz w:val="32"/>
        </w:rPr>
        <w:t>ฐานข้อมูลเชิงสัมพันธ์ (Relational Database) จัดเก็บข้อมูลในรูปแบบตาราง (Table) ที่สัมพันธ์กันผ่านคีย์ (Key) โดยใช้ภาษา SQL (Structured Query Language) ในการจัดการข้อมูล (Date, 2004) MySQL เป็นระบบจัดการฐานข้อมูลเชิงสัมพันธ์แบบโอเพนซอร์ส (Open Source) ที่ได้รับความนิยมสูงสุด ในระบบ HRCP.KKU ใช้ MySQL เป็นฐานข้อมูลหลักร่วมกับ Spring Data JPA</w:t>
      </w:r>
    </w:p>
    <w:p>
      <w:pPr>
        <w:spacing w:before="240" w:after="120"/>
      </w:pPr>
      <w:r>
        <w:rPr>
          <w:rFonts w:ascii="TH SarabunPSK" w:hAnsi="TH SarabunPSK" w:cs="TH SarabunPSK"/>
          <w:b/>
          <w:sz w:val="32"/>
        </w:rPr>
        <w:t>2.2.9 กระบวนการขอกำหนดตำแหน่งทางวิชาการในประเทศไทย</w:t>
      </w:r>
    </w:p>
    <w:p>
      <w:pPr>
        <w:spacing w:after="120"/>
        <w:ind w:firstLine="720"/>
      </w:pPr>
      <w:r>
        <w:rPr>
          <w:rFonts w:ascii="TH SarabunPSK" w:hAnsi="TH SarabunPSK" w:cs="TH SarabunPSK"/>
          <w:b w:val="0"/>
          <w:sz w:val="32"/>
        </w:rPr>
        <w:t>การขอกำหนดตำแหน่งทางวิชาการในสถาบันอุดมศึกษาของไทยดำเนินการภายใต้ข้อบังคับของสำนักงานปลัดกระทรวงการอุดมศึกษา วิทยาศาสตร์ วิจัยและนวัตกรรม (สป.อว.) ซึ่งกำหนดตำแหน่งทางวิชาการไว้ 3 ระดับ ได้แก่ ผู้ช่วยศาสตราจารย์ (ผศ.) รองศาสตราจารย์ (รศ.) และศาสตราจารย์ (ศ.)</w:t>
      </w:r>
    </w:p>
    <w:p>
      <w:pPr>
        <w:spacing w:after="120"/>
        <w:ind w:firstLine="720"/>
      </w:pPr>
      <w:r>
        <w:rPr>
          <w:rFonts w:ascii="TH SarabunPSK" w:hAnsi="TH SarabunPSK" w:cs="TH SarabunPSK"/>
          <w:b w:val="0"/>
          <w:sz w:val="32"/>
        </w:rPr>
        <w:t>กระบวนงานหลักประกอบด้วย: การประเมินผลการสอน (Teaching Evaluation) → การรวบรวมผลงานทางวิชาการ → การตรวจสอบคุณสมบัติเบื้องต้น → การแต่งตั้งคณะอนุกรรมการ → การประชุมพิจารณา → การแจ้งผลการประเมิน → การเสนอเรื่องต่อกองทรัพยากรบุคคล ในบริบทของวิทยาลัยการคอมพิวเตอร์ มหาวิทยาลัยขอนแก่น กระบวนการดังกล่าวครอบคลุมเอกสาร 9 ประเภทสำหรับการประเมินผลการสอน และเอกสาร 9 ประเภทสำหรับการขอกำหนดตำแหน่ง</w:t>
      </w:r>
    </w:p>
    <w:p>
      <w:pPr>
        <w:spacing w:before="240" w:after="120"/>
      </w:pPr>
      <w:r>
        <w:rPr>
          <w:rFonts w:ascii="TH SarabunPSK" w:hAnsi="TH SarabunPSK" w:cs="TH SarabunPSK"/>
          <w:b/>
          <w:sz w:val="32"/>
        </w:rPr>
        <w:t>2.2.10 ระบบจัดการเอกสาร (Document Management System — DMS)</w:t>
      </w:r>
    </w:p>
    <w:p>
      <w:pPr>
        <w:spacing w:after="120"/>
        <w:ind w:firstLine="720"/>
      </w:pPr>
      <w:r>
        <w:rPr>
          <w:rFonts w:ascii="TH SarabunPSK" w:hAnsi="TH SarabunPSK" w:cs="TH SarabunPSK"/>
          <w:b w:val="0"/>
          <w:sz w:val="32"/>
        </w:rPr>
        <w:t>ระบบจัดการเอกสาร (DMS) คือระบบที่ใช้ในการสร้าง จัดเก็บ จัดการ และติดตามเอกสารดิจิทัล (Adam, 2007) ฟังก์ชันหลัก ได้แก่ การสร้างเอกสารจากแม่แบบ (Template) การจัดเก็บในรูปแบบดิจิทัล การค้นคืน (Retrieval) การควบคุมเวอร์ชัน (Version Control) การควบคุมสิทธิ์ (Access Control) และการสืบค้นร่องรอย (Audit Trail) ระบบ HRCP.KKU ประยุกต์ใช้หลักการ DMS ตลอดจนเพิ่มเติมความสามารถในการสร้างเอกสาร DOCX อัตโนมัติด้วยวิธี Pure ZIP/XML Manipulation</w:t>
      </w:r>
    </w:p>
    <w:p>
      <w:pPr>
        <w:spacing w:before="240" w:after="120"/>
      </w:pPr>
      <w:r>
        <w:rPr>
          <w:rFonts w:ascii="TH SarabunPSK" w:hAnsi="TH SarabunPSK" w:cs="TH SarabunPSK"/>
          <w:b/>
          <w:sz w:val="32"/>
        </w:rPr>
        <w:t>2.2.11 มาตรฐาน ISO 25010 (Software Quality Standard)</w:t>
      </w:r>
    </w:p>
    <w:p>
      <w:pPr>
        <w:spacing w:after="120"/>
        <w:ind w:firstLine="720"/>
      </w:pPr>
      <w:r>
        <w:rPr>
          <w:rFonts w:ascii="TH SarabunPSK" w:hAnsi="TH SarabunPSK" w:cs="TH SarabunPSK"/>
          <w:b w:val="0"/>
          <w:sz w:val="32"/>
        </w:rPr>
        <w:t>ISO/IEC 25010:2011 เป็นมาตรฐานสากลสำหรับการประเมินคุณภาพซอฟต์แวร์ กำหนดคุณลักษณะคุณภาพ 8 มิติ (ISO, 2011) ได้แก่ Functional Suitability, Performance Efficiency, Compatibility, Usability, Reliability, Security, Maintainability และ Portability มาตรฐาน ISO 25010 ถูกใช้เป็นกรอบการประเมินในงานวิจัยที่เกี่ยวข้อง 2 งาน ได้แก่ Zinampan (2023) [4] และ Ruslan et al. (2021) [2]</w:t>
      </w:r>
    </w:p>
    <w:p>
      <w:pPr>
        <w:spacing w:before="240" w:after="120"/>
      </w:pPr>
      <w:r>
        <w:rPr>
          <w:rFonts w:ascii="TH SarabunPSK" w:hAnsi="TH SarabunPSK" w:cs="TH SarabunPSK"/>
          <w:b/>
          <w:sz w:val="32"/>
        </w:rPr>
        <w:t>2.2.12 การออกแบบประสบการณ์ผู้ใช้ (User Experience — UX Design)</w:t>
      </w:r>
    </w:p>
    <w:p>
      <w:pPr>
        <w:spacing w:after="120"/>
        <w:ind w:firstLine="720"/>
      </w:pPr>
      <w:r>
        <w:rPr>
          <w:rFonts w:ascii="TH SarabunPSK" w:hAnsi="TH SarabunPSK" w:cs="TH SarabunPSK"/>
          <w:b w:val="0"/>
          <w:sz w:val="32"/>
        </w:rPr>
        <w:t>การออกแบบประสบการณ์ผู้ใช้ (UX Design) เป็นกระบวนการออกแบบที่มุ่งเน้นให้ผู้ใช้ได้รับประสบการณ์ที่ดี มีประสิทธิภาพ และเกิดความพึงพอใจในการใช้งานระบบ (Norman, 2013) หลักการสำคัญ ได้แก่ Usefulness, Usability, Findability, Credibility, Accessibility และ Desirability ในระบบ HRCP.KKU หลักการ UX Design ถูกนำมาประยุกต์ใช้ในการออกแบบหน้าจอแดชบอร์ด ระบบบันทึกฉบับร่างอัตโนมัติ การแสดงผลแบบ Step-by-Step สำหรับแบบฟอร์มที่ซับซ้อน และระบบ Notification</w:t>
      </w:r>
    </w:p>
    <w:p>
      <w:pPr>
        <w:spacing w:before="240" w:after="120"/>
      </w:pPr>
      <w:r>
        <w:rPr>
          <w:rFonts w:ascii="TH SarabunPSK" w:hAnsi="TH SarabunPSK" w:cs="TH SarabunPSK"/>
          <w:b/>
          <w:sz w:val="32"/>
        </w:rPr>
        <w:t>เอกสารอ้างอิง (References)</w:t>
      </w:r>
    </w:p>
    <w:p>
      <w:pPr>
        <w:spacing w:after="60"/>
        <w:ind w:left="720" w:hanging="720"/>
      </w:pPr>
      <w:r>
        <w:rPr>
          <w:rFonts w:ascii="TH SarabunPSK" w:hAnsi="TH SarabunPSK" w:cs="TH SarabunPSK"/>
          <w:b w:val="0"/>
          <w:sz w:val="32"/>
        </w:rPr>
        <w:t>[1] E. S. Freeman, R. A. Bornemeier, K. H. Poe et al., "Promotion and Tenure Database Creation and Utilization: A 12-Year History," Journal of Clinical Psychology in Medical Settings, 2024.</w:t>
      </w:r>
    </w:p>
    <w:p>
      <w:pPr>
        <w:spacing w:after="60"/>
        <w:ind w:left="720" w:hanging="720"/>
      </w:pPr>
      <w:r>
        <w:rPr>
          <w:rFonts w:ascii="TH SarabunPSK" w:hAnsi="TH SarabunPSK" w:cs="TH SarabunPSK"/>
          <w:b w:val="0"/>
          <w:sz w:val="32"/>
        </w:rPr>
        <w:t>[2] R. Ruslan, E. Rahman, and D. Vitalocca, "Pengembangan Sistem Penilaian Kenaikan Pangkat Dosen Pada Jurusan Pendidikan Teknik Elektro Universitas Negeri Makassar," Jurnal Media Elektrik, vol. 18, no. 3, 2021.</w:t>
      </w:r>
    </w:p>
    <w:p>
      <w:pPr>
        <w:spacing w:after="60"/>
        <w:ind w:left="720" w:hanging="720"/>
      </w:pPr>
      <w:r>
        <w:rPr>
          <w:rFonts w:ascii="TH SarabunPSK" w:hAnsi="TH SarabunPSK" w:cs="TH SarabunPSK"/>
          <w:b w:val="0"/>
          <w:sz w:val="32"/>
        </w:rPr>
        <w:t>[3] L. P. Bensi, "Optimizing Faculty Management: Implementing Intranet Solutions in Academic Institutions," Global Journal of Engineering and Technology Advances, vol. 21, no. 1, 2024.</w:t>
      </w:r>
    </w:p>
    <w:p>
      <w:pPr>
        <w:spacing w:after="60"/>
        <w:ind w:left="720" w:hanging="720"/>
      </w:pPr>
      <w:r>
        <w:rPr>
          <w:rFonts w:ascii="TH SarabunPSK" w:hAnsi="TH SarabunPSK" w:cs="TH SarabunPSK"/>
          <w:b w:val="0"/>
          <w:sz w:val="32"/>
        </w:rPr>
        <w:t>[4] M. J. L. L. Zinampan, "HRIS with Decision Support for Faculty Appraisal and Promotion," International Journal of Recent Technology and Engineering, vol. 12, no. 1, 2023.</w:t>
      </w:r>
    </w:p>
    <w:p>
      <w:pPr>
        <w:spacing w:after="60"/>
        <w:ind w:left="720" w:hanging="720"/>
      </w:pPr>
      <w:r>
        <w:rPr>
          <w:rFonts w:ascii="TH SarabunPSK" w:hAnsi="TH SarabunPSK" w:cs="TH SarabunPSK"/>
          <w:b w:val="0"/>
          <w:sz w:val="32"/>
        </w:rPr>
        <w:t>[5] Z. Ariza, "Perancangan Sistem Informasi Penilaian Angka Kredit Kenaikan Jabatan Fungsional Atau Pangkat Dosen di Fakultas Tarbiyah Dan Ilmu Keguruan UIN Bukittinggi," JISED, vol. 2, no. 1, 2024.</w:t>
      </w:r>
    </w:p>
    <w:p>
      <w:pPr>
        <w:spacing w:after="60"/>
        <w:ind w:left="720" w:hanging="720"/>
      </w:pPr>
      <w:r>
        <w:rPr>
          <w:rFonts w:ascii="TH SarabunPSK" w:hAnsi="TH SarabunPSK" w:cs="TH SarabunPSK"/>
          <w:b w:val="0"/>
          <w:sz w:val="32"/>
        </w:rPr>
        <w:t>[6] E. H. Alfsai, K. Bozed, and M. A. Hagal, "Decision Support System of Staff Member Promotion Based on Cloud Computing," in IEEE 3rd MI-STA, 2023.</w:t>
      </w:r>
    </w:p>
    <w:p>
      <w:pPr>
        <w:spacing w:after="60"/>
        <w:ind w:left="720" w:hanging="720"/>
      </w:pPr>
      <w:r>
        <w:rPr>
          <w:rFonts w:ascii="TH SarabunPSK" w:hAnsi="TH SarabunPSK" w:cs="TH SarabunPSK"/>
          <w:b w:val="0"/>
          <w:sz w:val="32"/>
        </w:rPr>
        <w:t>[7] N. N. Pusparini, A. Budiyantara, and S. Lusa, "Pengaruh Knowledge Management System Untuk Jenjang Jabatan Akademik Dengan Model SECI," METHOMIKA, vol. 4, no. 1, 2020.</w:t>
      </w:r>
    </w:p>
    <w:p>
      <w:pPr>
        <w:spacing w:after="60"/>
        <w:ind w:left="720" w:hanging="720"/>
      </w:pPr>
      <w:r>
        <w:rPr>
          <w:rFonts w:ascii="TH SarabunPSK" w:hAnsi="TH SarabunPSK" w:cs="TH SarabunPSK"/>
          <w:b w:val="0"/>
          <w:sz w:val="32"/>
        </w:rPr>
        <w:t>[8] A. AlSoufi, "The Role of Big Data in University Strategy and Performance Eco System: A Case Study," in WorldCIST, 2018.</w:t>
      </w:r>
    </w:p>
    <w:p>
      <w:pPr>
        <w:spacing w:after="60"/>
        <w:ind w:left="720" w:hanging="720"/>
      </w:pPr>
      <w:r>
        <w:rPr>
          <w:rFonts w:ascii="TH SarabunPSK" w:hAnsi="TH SarabunPSK" w:cs="TH SarabunPSK"/>
          <w:b w:val="0"/>
          <w:sz w:val="32"/>
        </w:rPr>
        <w:t>[9] P. Jittavani, W. Khunrattanasiri, and S. Kitisin, "Job Tracking and Assessment System Design and Implementation with UI/UX and Agile Methodology," in IEEE WIE-ECE, 2018.</w:t>
      </w:r>
    </w:p>
    <w:p>
      <w:pPr>
        <w:spacing w:after="60"/>
        <w:ind w:left="720" w:hanging="720"/>
      </w:pPr>
      <w:r>
        <w:rPr>
          <w:rFonts w:ascii="TH SarabunPSK" w:hAnsi="TH SarabunPSK" w:cs="TH SarabunPSK"/>
          <w:b w:val="0"/>
          <w:sz w:val="32"/>
        </w:rPr>
        <w:t>[10] R. G. Luciano, "Design and Development of Human Resource Information System (HRIS) for Private HEIs," 2020.</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