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header1.xml" ContentType="application/vnd.openxmlformats-officedocument.wordprocessingml.header+xml"/>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Description:  Create a program that will utilize different variations of matrix multiplication in order to show the effects of cache and memory utilization</w:t>
      </w:r>
    </w:p>
    <w:p>
      <w:pPr>
        <w:pStyle w:val="Normal"/>
        <w:rPr/>
      </w:pPr>
      <w:r>
        <w:rPr/>
      </w:r>
    </w:p>
    <w:p>
      <w:pPr>
        <w:pStyle w:val="Normal"/>
        <w:rPr/>
      </w:pPr>
      <w:r>
        <w:rPr/>
        <w:t>This assignment gives students the opportunity to see the difference in speed between normal matrix multiplication, transposed matrix multiplication, block multiplication, and multiple children processing each block of the block multiplication created by the fork command.</w:t>
      </w:r>
    </w:p>
    <w:p>
      <w:pPr>
        <w:pStyle w:val="Normal"/>
        <w:rPr/>
      </w:pPr>
      <w:r>
        <w:rPr/>
      </w:r>
    </w:p>
    <w:p>
      <w:pPr>
        <w:pStyle w:val="Normal"/>
        <w:rPr/>
      </w:pPr>
      <w:r>
        <w:rPr/>
        <w:t>The size of each matrix, to obtain valid output, is always a power of 2.  For example, size 4 = 2^2, 9 = 3^2, 16 = 4^2.  Any value that does not meet these specifications could cause unintended errors.</w:t>
      </w:r>
    </w:p>
    <w:p>
      <w:pPr>
        <w:pStyle w:val="Normal"/>
        <w:rPr/>
      </w:pPr>
      <w:r>
        <w:rPr/>
      </w:r>
    </w:p>
    <w:p>
      <w:pPr>
        <w:pStyle w:val="Normal"/>
        <w:rPr/>
      </w:pPr>
      <w:r>
        <w:rPr/>
        <w:t>The block size of the matrices to be used in the block multiplication was based on numbers that were 1) the square root of the matrix size 2) matrix size/8 3) Matrix size/4 4) Matrix size/8.  Therefore all inputs used to collect data met each of those requirements.</w:t>
      </w:r>
    </w:p>
    <w:p>
      <w:pPr>
        <w:pStyle w:val="Normal"/>
        <w:rPr/>
      </w:pPr>
      <w:r>
        <w:rPr/>
      </w:r>
    </w:p>
    <w:p>
      <w:pPr>
        <w:pStyle w:val="Normal"/>
        <w:rPr/>
      </w:pPr>
      <w:r>
        <w:rPr/>
        <w:t>The table below represents the matrix multiplication which does not utilize any forks/children.  Values beyond 2304 took exceptionally long so those greater values are not contained in this report.</w:t>
      </w:r>
    </w:p>
    <w:p>
      <w:pPr>
        <w:pStyle w:val="Normal"/>
        <w:rPr/>
      </w:pPr>
      <w:r>
        <w:rPr/>
      </w:r>
    </w:p>
    <w:p>
      <w:pPr>
        <w:pStyle w:val="Normal"/>
        <w:rPr/>
      </w:pPr>
      <w:r>
        <w:rPr/>
      </w:r>
    </w:p>
    <w:p>
      <w:pPr>
        <w:pStyle w:val="Normal"/>
        <w:rPr/>
      </w:pPr>
      <w:r>
        <w:rPr/>
        <w:object>
          <v:shape id="ole_rId2" style="width:287pt;height:111.4pt" o:ole="">
            <v:imagedata r:id="rId3" o:title=""/>
          </v:shape>
          <o:OLEObject Type="Embed" ProgID="Excel.Sheet.12" ShapeID="ole_rId2" DrawAspect="Content" ObjectID="_909298783" r:id="rId2"/>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084570" cy="3244215"/>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t>The table below represents the matrix multiplication which utilizes forks/children in order to perform the multiplication of each block at the same time.  Semaphores have been implemented in the program in order to prevent multiple processes from writing to the same element of Matrix C at the same time.  Values beyond 7744 took exceptionally long so those greater values are not contained in this report.</w:t>
      </w:r>
    </w:p>
    <w:p>
      <w:pPr>
        <w:pStyle w:val="Normal"/>
        <w:rPr/>
      </w:pPr>
      <w:r>
        <w:rPr/>
      </w:r>
    </w:p>
    <w:p>
      <w:pPr>
        <w:pStyle w:val="Normal"/>
        <w:rPr/>
      </w:pPr>
      <w:r>
        <w:rPr/>
        <w:t>The values seem to show that the closer the block size is to n, the faster the computations.  However, I think with extremely large values, beyond the scope and capabilities of this project, there may be a case where the speed of computation is inversely proportional to the size of the matrix</w:t>
      </w:r>
    </w:p>
    <w:p>
      <w:pPr>
        <w:pStyle w:val="Normal"/>
        <w:rPr/>
      </w:pPr>
      <w:r>
        <w:rPr/>
        <w:object>
          <v:shape id="ole_rId5" style="width:408.2pt;height:152pt" o:ole="">
            <v:imagedata r:id="rId6" o:title=""/>
          </v:shape>
          <o:OLEObject Type="Embed" ProgID="Excel.Sheet.12" ShapeID="ole_rId5" DrawAspect="Content" ObjectID="_817636311" r:id="rId5"/>
        </w:object>
      </w:r>
    </w:p>
    <w:p>
      <w:pPr>
        <w:pStyle w:val="Normal"/>
        <w:rPr/>
      </w:pPr>
      <w:r>
        <w:rPr/>
      </w:r>
    </w:p>
    <w:p>
      <w:pPr>
        <w:pStyle w:val="Normal"/>
        <w:rPr/>
      </w:pPr>
      <w:r>
        <w:rPr/>
        <w:drawing>
          <wp:inline distT="0" distB="0" distL="0" distR="0">
            <wp:extent cx="6009640" cy="3723005"/>
            <wp:effectExtent l="0" t="0" r="0" b="0"/>
            <wp:docPr id="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headerReference w:type="default" r:id="rId8"/>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Kevin Richmond</w:t>
    </w:r>
  </w:p>
  <w:p>
    <w:pPr>
      <w:pStyle w:val="Header"/>
      <w:rPr/>
    </w:pPr>
    <w:r>
      <w:rPr/>
      <w:t>CMSC 257 – Computer Systems</w:t>
    </w:r>
  </w:p>
  <w:p>
    <w:pPr>
      <w:pStyle w:val="Header"/>
      <w:rPr/>
    </w:pPr>
    <w:r>
      <w:rPr/>
      <w:t>Assignment 3 – Matrix Multiplication</w:t>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Matrix Multiplication (no forks)</a:t>
            </a:r>
          </a:p>
        </c:rich>
      </c:tx>
      <c:overlay val="0"/>
    </c:title>
    <c:autoTitleDeleted val="0"/>
    <c:plotArea>
      <c:lineChart>
        <c:grouping val="standard"/>
        <c:ser>
          <c:idx val="0"/>
          <c:order val="0"/>
          <c:tx>
            <c:strRef>
              <c:f>label 0</c:f>
              <c:strCache>
                <c:ptCount val="1"/>
                <c:pt idx="0">
                  <c:v>Normal</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0</c:f>
              <c:numCache>
                <c:formatCode>General</c:formatCode>
                <c:ptCount val="10"/>
                <c:pt idx="0">
                  <c:v>0.02</c:v>
                </c:pt>
                <c:pt idx="1">
                  <c:v>0.27</c:v>
                </c:pt>
                <c:pt idx="2">
                  <c:v>0.75</c:v>
                </c:pt>
                <c:pt idx="3">
                  <c:v>2.35</c:v>
                </c:pt>
                <c:pt idx="4">
                  <c:v>5.22</c:v>
                </c:pt>
                <c:pt idx="5">
                  <c:v>12</c:v>
                </c:pt>
                <c:pt idx="6">
                  <c:v>96.23</c:v>
                </c:pt>
                <c:pt idx="7">
                  <c:v>261.33</c:v>
                </c:pt>
                <c:pt idx="8">
                  <c:v>414.14</c:v>
                </c:pt>
                <c:pt idx="9">
                  <c:v>627.12</c:v>
                </c:pt>
              </c:numCache>
            </c:numRef>
          </c:val>
          <c:smooth val="0"/>
        </c:ser>
        <c:ser>
          <c:idx val="1"/>
          <c:order val="1"/>
          <c:tx>
            <c:strRef>
              <c:f>label 1</c:f>
              <c:strCache>
                <c:ptCount val="1"/>
                <c:pt idx="0">
                  <c:v>Tran</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1</c:f>
              <c:numCache>
                <c:formatCode>General</c:formatCode>
                <c:ptCount val="10"/>
                <c:pt idx="0">
                  <c:v>0.02</c:v>
                </c:pt>
                <c:pt idx="1">
                  <c:v>0.22</c:v>
                </c:pt>
                <c:pt idx="2">
                  <c:v>0.44</c:v>
                </c:pt>
                <c:pt idx="3">
                  <c:v>1.03</c:v>
                </c:pt>
                <c:pt idx="4">
                  <c:v>2.45</c:v>
                </c:pt>
                <c:pt idx="5">
                  <c:v>5.76</c:v>
                </c:pt>
                <c:pt idx="6">
                  <c:v>16.63</c:v>
                </c:pt>
                <c:pt idx="7">
                  <c:v>27.93</c:v>
                </c:pt>
                <c:pt idx="8">
                  <c:v>54.87</c:v>
                </c:pt>
                <c:pt idx="9">
                  <c:v>98.78</c:v>
                </c:pt>
              </c:numCache>
            </c:numRef>
          </c:val>
          <c:smooth val="0"/>
        </c:ser>
        <c:ser>
          <c:idx val="2"/>
          <c:order val="2"/>
          <c:tx>
            <c:strRef>
              <c:f>label 2</c:f>
              <c:strCache>
                <c:ptCount val="1"/>
                <c:pt idx="0">
                  <c:v>Block sqrt(n)</c:v>
                </c:pt>
              </c:strCache>
            </c:strRef>
          </c:tx>
          <c:spPr>
            <a:solidFill>
              <a:srgbClr val="ffd320"/>
            </a:solidFill>
            <a:ln w="28800">
              <a:solidFill>
                <a:srgbClr val="ffd320"/>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2</c:f>
              <c:numCache>
                <c:formatCode>General</c:formatCode>
                <c:ptCount val="10"/>
                <c:pt idx="0">
                  <c:v>0.02</c:v>
                </c:pt>
                <c:pt idx="1">
                  <c:v>0.23</c:v>
                </c:pt>
                <c:pt idx="2">
                  <c:v>0.49</c:v>
                </c:pt>
                <c:pt idx="3">
                  <c:v>1.06</c:v>
                </c:pt>
                <c:pt idx="4">
                  <c:v>2.97</c:v>
                </c:pt>
                <c:pt idx="5">
                  <c:v>8.15</c:v>
                </c:pt>
                <c:pt idx="6">
                  <c:v>15.39</c:v>
                </c:pt>
                <c:pt idx="7">
                  <c:v>30.14</c:v>
                </c:pt>
                <c:pt idx="8">
                  <c:v>59.52</c:v>
                </c:pt>
                <c:pt idx="9">
                  <c:v>89.9</c:v>
                </c:pt>
              </c:numCache>
            </c:numRef>
          </c:val>
          <c:smooth val="0"/>
        </c:ser>
        <c:ser>
          <c:idx val="3"/>
          <c:order val="3"/>
          <c:tx>
            <c:strRef>
              <c:f>label 3</c:f>
              <c:strCache>
                <c:ptCount val="1"/>
                <c:pt idx="0">
                  <c:v>Block n/8</c:v>
                </c:pt>
              </c:strCache>
            </c:strRef>
          </c:tx>
          <c:spPr>
            <a:solidFill>
              <a:srgbClr val="579d1c"/>
            </a:solidFill>
            <a:ln w="28800">
              <a:solidFill>
                <a:srgbClr val="579d1c"/>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3</c:f>
              <c:numCache>
                <c:formatCode>General</c:formatCode>
                <c:ptCount val="10"/>
                <c:pt idx="0">
                  <c:v>0.02</c:v>
                </c:pt>
                <c:pt idx="1">
                  <c:v>0.17</c:v>
                </c:pt>
                <c:pt idx="2">
                  <c:v>0.43</c:v>
                </c:pt>
                <c:pt idx="3">
                  <c:v>1.16</c:v>
                </c:pt>
                <c:pt idx="4">
                  <c:v>3.01</c:v>
                </c:pt>
                <c:pt idx="5">
                  <c:v>7.19</c:v>
                </c:pt>
                <c:pt idx="6">
                  <c:v>15.99</c:v>
                </c:pt>
                <c:pt idx="7">
                  <c:v>41.51</c:v>
                </c:pt>
                <c:pt idx="8">
                  <c:v>73.57</c:v>
                </c:pt>
                <c:pt idx="9">
                  <c:v>145.36</c:v>
                </c:pt>
              </c:numCache>
            </c:numRef>
          </c:val>
          <c:smooth val="0"/>
        </c:ser>
        <c:ser>
          <c:idx val="4"/>
          <c:order val="4"/>
          <c:tx>
            <c:strRef>
              <c:f>label 4</c:f>
              <c:strCache>
                <c:ptCount val="1"/>
                <c:pt idx="0">
                  <c:v>Block n/4</c:v>
                </c:pt>
              </c:strCache>
            </c:strRef>
          </c:tx>
          <c:spPr>
            <a:solidFill>
              <a:srgbClr val="7e0021"/>
            </a:solidFill>
            <a:ln w="28800">
              <a:solidFill>
                <a:srgbClr val="7e0021"/>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4</c:f>
              <c:numCache>
                <c:formatCode>General</c:formatCode>
                <c:ptCount val="10"/>
                <c:pt idx="0">
                  <c:v>0.02</c:v>
                </c:pt>
                <c:pt idx="1">
                  <c:v>0.17</c:v>
                </c:pt>
                <c:pt idx="2">
                  <c:v>0.43</c:v>
                </c:pt>
                <c:pt idx="3">
                  <c:v>1.29</c:v>
                </c:pt>
                <c:pt idx="4">
                  <c:v>3.65</c:v>
                </c:pt>
                <c:pt idx="5">
                  <c:v>8.73</c:v>
                </c:pt>
                <c:pt idx="6">
                  <c:v>19.67</c:v>
                </c:pt>
                <c:pt idx="7">
                  <c:v>45.84</c:v>
                </c:pt>
                <c:pt idx="8">
                  <c:v>114.01</c:v>
                </c:pt>
                <c:pt idx="9">
                  <c:v>183.94</c:v>
                </c:pt>
              </c:numCache>
            </c:numRef>
          </c:val>
          <c:smooth val="0"/>
        </c:ser>
        <c:ser>
          <c:idx val="5"/>
          <c:order val="5"/>
          <c:tx>
            <c:strRef>
              <c:f>label 5</c:f>
              <c:strCache>
                <c:ptCount val="1"/>
                <c:pt idx="0">
                  <c:v>Block n/2</c:v>
                </c:pt>
              </c:strCache>
            </c:strRef>
          </c:tx>
          <c:spPr>
            <a:solidFill>
              <a:srgbClr val="83caff"/>
            </a:solidFill>
            <a:ln w="28800">
              <a:solidFill>
                <a:srgbClr val="83caff"/>
              </a:solidFill>
              <a:round/>
            </a:ln>
          </c:spPr>
          <c:marker>
            <c:symbol val="none"/>
          </c:marker>
          <c:dLbls>
            <c:showLegendKey val="0"/>
            <c:showVal val="0"/>
            <c:showCatName val="0"/>
            <c:showSerName val="0"/>
            <c:showPercent val="0"/>
            <c:showLeaderLines val="0"/>
          </c:dLbls>
          <c:cat>
            <c:strRef>
              <c:f>categories</c:f>
              <c:strCache>
                <c:ptCount val="10"/>
                <c:pt idx="0">
                  <c:v>144</c:v>
                </c:pt>
                <c:pt idx="1">
                  <c:v>256</c:v>
                </c:pt>
                <c:pt idx="2">
                  <c:v>400</c:v>
                </c:pt>
                <c:pt idx="3">
                  <c:v>576</c:v>
                </c:pt>
                <c:pt idx="4">
                  <c:v>784</c:v>
                </c:pt>
                <c:pt idx="5">
                  <c:v>1024</c:v>
                </c:pt>
                <c:pt idx="6">
                  <c:v>1296</c:v>
                </c:pt>
                <c:pt idx="7">
                  <c:v>1600</c:v>
                </c:pt>
                <c:pt idx="8">
                  <c:v>1936</c:v>
                </c:pt>
                <c:pt idx="9">
                  <c:v>2304</c:v>
                </c:pt>
              </c:strCache>
            </c:strRef>
          </c:cat>
          <c:val>
            <c:numRef>
              <c:f>5</c:f>
              <c:numCache>
                <c:formatCode>General</c:formatCode>
                <c:ptCount val="10"/>
                <c:pt idx="0">
                  <c:v>0.02</c:v>
                </c:pt>
                <c:pt idx="1">
                  <c:v>0.17</c:v>
                </c:pt>
                <c:pt idx="2">
                  <c:v>0.53</c:v>
                </c:pt>
                <c:pt idx="3">
                  <c:v>1.56</c:v>
                </c:pt>
                <c:pt idx="4">
                  <c:v>3.81</c:v>
                </c:pt>
                <c:pt idx="5">
                  <c:v>9.3</c:v>
                </c:pt>
                <c:pt idx="6">
                  <c:v>24.03</c:v>
                </c:pt>
                <c:pt idx="7">
                  <c:v>86.92</c:v>
                </c:pt>
                <c:pt idx="8">
                  <c:v>99.21</c:v>
                </c:pt>
                <c:pt idx="9">
                  <c:v>451.75</c:v>
                </c:pt>
              </c:numCache>
            </c:numRef>
          </c:val>
          <c:smooth val="0"/>
        </c:ser>
        <c:hiLowLines>
          <c:spPr>
            <a:ln>
              <a:noFill/>
            </a:ln>
          </c:spPr>
        </c:hiLowLines>
        <c:marker val="0"/>
        <c:axId val="83248108"/>
        <c:axId val="48025078"/>
      </c:lineChart>
      <c:catAx>
        <c:axId val="8324810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Size (n)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8025078"/>
        <c:crosses val="autoZero"/>
        <c:auto val="1"/>
        <c:lblAlgn val="ctr"/>
        <c:lblOffset val="100"/>
      </c:catAx>
      <c:valAx>
        <c:axId val="48025078"/>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(s)</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3248108"/>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Block Multiplication with Forks</a:t>
            </a:r>
          </a:p>
        </c:rich>
      </c:tx>
      <c:overlay val="0"/>
    </c:title>
    <c:autoTitleDeleted val="0"/>
    <c:plotArea>
      <c:lineChart>
        <c:grouping val="standard"/>
        <c:ser>
          <c:idx val="0"/>
          <c:order val="0"/>
          <c:tx>
            <c:strRef>
              <c:f>label 0</c:f>
              <c:strCache>
                <c:ptCount val="1"/>
                <c:pt idx="0">
                  <c:v>Fork sqrt(n)</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20"/>
                <c:pt idx="0">
                  <c:v>144</c:v>
                </c:pt>
                <c:pt idx="1">
                  <c:v>256</c:v>
                </c:pt>
                <c:pt idx="2">
                  <c:v>400</c:v>
                </c:pt>
                <c:pt idx="3">
                  <c:v>576</c:v>
                </c:pt>
                <c:pt idx="4">
                  <c:v>784</c:v>
                </c:pt>
                <c:pt idx="5">
                  <c:v>1024</c:v>
                </c:pt>
                <c:pt idx="6">
                  <c:v>1296</c:v>
                </c:pt>
                <c:pt idx="7">
                  <c:v>1600</c:v>
                </c:pt>
                <c:pt idx="8">
                  <c:v>1936</c:v>
                </c:pt>
                <c:pt idx="9">
                  <c:v>2304</c:v>
                </c:pt>
                <c:pt idx="10">
                  <c:v>2704</c:v>
                </c:pt>
                <c:pt idx="11">
                  <c:v>3136</c:v>
                </c:pt>
                <c:pt idx="12">
                  <c:v>3600</c:v>
                </c:pt>
                <c:pt idx="13">
                  <c:v>4096</c:v>
                </c:pt>
                <c:pt idx="14">
                  <c:v>4624</c:v>
                </c:pt>
                <c:pt idx="15">
                  <c:v>5184</c:v>
                </c:pt>
                <c:pt idx="16">
                  <c:v>5776</c:v>
                </c:pt>
                <c:pt idx="17">
                  <c:v>6400</c:v>
                </c:pt>
                <c:pt idx="18">
                  <c:v>7056</c:v>
                </c:pt>
                <c:pt idx="19">
                  <c:v>7744</c:v>
                </c:pt>
              </c:strCache>
            </c:strRef>
          </c:cat>
          <c:val>
            <c:numRef>
              <c:f>0</c:f>
              <c:numCache>
                <c:formatCode>General</c:formatCode>
                <c:ptCount val="20"/>
                <c:pt idx="0">
                  <c:v>8.98</c:v>
                </c:pt>
                <c:pt idx="1">
                  <c:v>101.876666666667</c:v>
                </c:pt>
                <c:pt idx="2">
                  <c:v>102.5</c:v>
                </c:pt>
                <c:pt idx="3">
                  <c:v>106.913333333333</c:v>
                </c:pt>
                <c:pt idx="4">
                  <c:v>106.106666666667</c:v>
                </c:pt>
                <c:pt idx="5">
                  <c:v>108.18</c:v>
                </c:pt>
                <c:pt idx="6">
                  <c:v>122.123333333333</c:v>
                </c:pt>
                <c:pt idx="7">
                  <c:v>90.8366666666667</c:v>
                </c:pt>
                <c:pt idx="8">
                  <c:v>79.43</c:v>
                </c:pt>
                <c:pt idx="9">
                  <c:v>90.52</c:v>
                </c:pt>
                <c:pt idx="10">
                  <c:v>94.51</c:v>
                </c:pt>
                <c:pt idx="11">
                  <c:v>93.24</c:v>
                </c:pt>
                <c:pt idx="12">
                  <c:v>114.72</c:v>
                </c:pt>
                <c:pt idx="13">
                  <c:v>101.796666666667</c:v>
                </c:pt>
                <c:pt idx="14">
                  <c:v>86.71</c:v>
                </c:pt>
                <c:pt idx="15">
                  <c:v>97.91</c:v>
                </c:pt>
                <c:pt idx="16">
                  <c:v>90.19</c:v>
                </c:pt>
                <c:pt idx="17">
                  <c:v>121.723333333333</c:v>
                </c:pt>
                <c:pt idx="18">
                  <c:v>114.75</c:v>
                </c:pt>
                <c:pt idx="19">
                  <c:v>98.38</c:v>
                </c:pt>
              </c:numCache>
            </c:numRef>
          </c:val>
          <c:smooth val="0"/>
        </c:ser>
        <c:ser>
          <c:idx val="1"/>
          <c:order val="1"/>
          <c:tx>
            <c:strRef>
              <c:f>label 1</c:f>
              <c:strCache>
                <c:ptCount val="1"/>
                <c:pt idx="0">
                  <c:v>Fork n/8</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20"/>
                <c:pt idx="0">
                  <c:v>144</c:v>
                </c:pt>
                <c:pt idx="1">
                  <c:v>256</c:v>
                </c:pt>
                <c:pt idx="2">
                  <c:v>400</c:v>
                </c:pt>
                <c:pt idx="3">
                  <c:v>576</c:v>
                </c:pt>
                <c:pt idx="4">
                  <c:v>784</c:v>
                </c:pt>
                <c:pt idx="5">
                  <c:v>1024</c:v>
                </c:pt>
                <c:pt idx="6">
                  <c:v>1296</c:v>
                </c:pt>
                <c:pt idx="7">
                  <c:v>1600</c:v>
                </c:pt>
                <c:pt idx="8">
                  <c:v>1936</c:v>
                </c:pt>
                <c:pt idx="9">
                  <c:v>2304</c:v>
                </c:pt>
                <c:pt idx="10">
                  <c:v>2704</c:v>
                </c:pt>
                <c:pt idx="11">
                  <c:v>3136</c:v>
                </c:pt>
                <c:pt idx="12">
                  <c:v>3600</c:v>
                </c:pt>
                <c:pt idx="13">
                  <c:v>4096</c:v>
                </c:pt>
                <c:pt idx="14">
                  <c:v>4624</c:v>
                </c:pt>
                <c:pt idx="15">
                  <c:v>5184</c:v>
                </c:pt>
                <c:pt idx="16">
                  <c:v>5776</c:v>
                </c:pt>
                <c:pt idx="17">
                  <c:v>6400</c:v>
                </c:pt>
                <c:pt idx="18">
                  <c:v>7056</c:v>
                </c:pt>
                <c:pt idx="19">
                  <c:v>7744</c:v>
                </c:pt>
              </c:strCache>
            </c:strRef>
          </c:cat>
          <c:val>
            <c:numRef>
              <c:f>1</c:f>
              <c:numCache>
                <c:formatCode>General</c:formatCode>
                <c:ptCount val="20"/>
                <c:pt idx="0">
                  <c:v>2.98</c:v>
                </c:pt>
                <c:pt idx="1">
                  <c:v>13.9333333333333</c:v>
                </c:pt>
                <c:pt idx="2">
                  <c:v>13.62</c:v>
                </c:pt>
                <c:pt idx="3">
                  <c:v>12.9733333333333</c:v>
                </c:pt>
                <c:pt idx="4">
                  <c:v>13.23</c:v>
                </c:pt>
                <c:pt idx="5">
                  <c:v>13.2733333333333</c:v>
                </c:pt>
                <c:pt idx="6">
                  <c:v>14.4433333333333</c:v>
                </c:pt>
                <c:pt idx="7">
                  <c:v>16.85</c:v>
                </c:pt>
                <c:pt idx="8">
                  <c:v>14.11</c:v>
                </c:pt>
                <c:pt idx="9">
                  <c:v>18.57</c:v>
                </c:pt>
                <c:pt idx="10">
                  <c:v>18.5433333333333</c:v>
                </c:pt>
                <c:pt idx="11">
                  <c:v>19.8266666666667</c:v>
                </c:pt>
                <c:pt idx="12">
                  <c:v>15.7633333333333</c:v>
                </c:pt>
                <c:pt idx="13">
                  <c:v>16.06</c:v>
                </c:pt>
                <c:pt idx="14">
                  <c:v>17.35</c:v>
                </c:pt>
                <c:pt idx="15">
                  <c:v>18.1633333333333</c:v>
                </c:pt>
                <c:pt idx="16">
                  <c:v>12.6333333333333</c:v>
                </c:pt>
                <c:pt idx="17">
                  <c:v>16.01</c:v>
                </c:pt>
                <c:pt idx="18">
                  <c:v>17.76</c:v>
                </c:pt>
                <c:pt idx="19">
                  <c:v>17.1133333333333</c:v>
                </c:pt>
              </c:numCache>
            </c:numRef>
          </c:val>
          <c:smooth val="0"/>
        </c:ser>
        <c:ser>
          <c:idx val="2"/>
          <c:order val="2"/>
          <c:tx>
            <c:strRef>
              <c:f>label 2</c:f>
              <c:strCache>
                <c:ptCount val="1"/>
                <c:pt idx="0">
                  <c:v>Fork n/4</c:v>
                </c:pt>
              </c:strCache>
            </c:strRef>
          </c:tx>
          <c:spPr>
            <a:solidFill>
              <a:srgbClr val="ffd320"/>
            </a:solidFill>
            <a:ln w="28800">
              <a:solidFill>
                <a:srgbClr val="ffd320"/>
              </a:solidFill>
              <a:round/>
            </a:ln>
          </c:spPr>
          <c:marker>
            <c:symbol val="none"/>
          </c:marker>
          <c:dLbls>
            <c:showLegendKey val="0"/>
            <c:showVal val="0"/>
            <c:showCatName val="0"/>
            <c:showSerName val="0"/>
            <c:showPercent val="0"/>
            <c:showLeaderLines val="0"/>
          </c:dLbls>
          <c:cat>
            <c:strRef>
              <c:f>categories</c:f>
              <c:strCache>
                <c:ptCount val="20"/>
                <c:pt idx="0">
                  <c:v>144</c:v>
                </c:pt>
                <c:pt idx="1">
                  <c:v>256</c:v>
                </c:pt>
                <c:pt idx="2">
                  <c:v>400</c:v>
                </c:pt>
                <c:pt idx="3">
                  <c:v>576</c:v>
                </c:pt>
                <c:pt idx="4">
                  <c:v>784</c:v>
                </c:pt>
                <c:pt idx="5">
                  <c:v>1024</c:v>
                </c:pt>
                <c:pt idx="6">
                  <c:v>1296</c:v>
                </c:pt>
                <c:pt idx="7">
                  <c:v>1600</c:v>
                </c:pt>
                <c:pt idx="8">
                  <c:v>1936</c:v>
                </c:pt>
                <c:pt idx="9">
                  <c:v>2304</c:v>
                </c:pt>
                <c:pt idx="10">
                  <c:v>2704</c:v>
                </c:pt>
                <c:pt idx="11">
                  <c:v>3136</c:v>
                </c:pt>
                <c:pt idx="12">
                  <c:v>3600</c:v>
                </c:pt>
                <c:pt idx="13">
                  <c:v>4096</c:v>
                </c:pt>
                <c:pt idx="14">
                  <c:v>4624</c:v>
                </c:pt>
                <c:pt idx="15">
                  <c:v>5184</c:v>
                </c:pt>
                <c:pt idx="16">
                  <c:v>5776</c:v>
                </c:pt>
                <c:pt idx="17">
                  <c:v>6400</c:v>
                </c:pt>
                <c:pt idx="18">
                  <c:v>7056</c:v>
                </c:pt>
                <c:pt idx="19">
                  <c:v>7744</c:v>
                </c:pt>
              </c:strCache>
            </c:strRef>
          </c:cat>
          <c:val>
            <c:numRef>
              <c:f>2</c:f>
              <c:numCache>
                <c:formatCode>General</c:formatCode>
                <c:ptCount val="20"/>
                <c:pt idx="0">
                  <c:v>0.553333333333333</c:v>
                </c:pt>
                <c:pt idx="1">
                  <c:v>1.78</c:v>
                </c:pt>
                <c:pt idx="2">
                  <c:v>2.02333333333333</c:v>
                </c:pt>
                <c:pt idx="3">
                  <c:v>2.12666666666667</c:v>
                </c:pt>
                <c:pt idx="4">
                  <c:v>2.19</c:v>
                </c:pt>
                <c:pt idx="5">
                  <c:v>2.22</c:v>
                </c:pt>
                <c:pt idx="6">
                  <c:v>2.23666666666667</c:v>
                </c:pt>
                <c:pt idx="7">
                  <c:v>2.55333333333333</c:v>
                </c:pt>
                <c:pt idx="8">
                  <c:v>2.84</c:v>
                </c:pt>
                <c:pt idx="9">
                  <c:v>2.86333333333333</c:v>
                </c:pt>
                <c:pt idx="10">
                  <c:v>2.99</c:v>
                </c:pt>
                <c:pt idx="11">
                  <c:v>2.83666666666667</c:v>
                </c:pt>
                <c:pt idx="12">
                  <c:v>2.68333333333333</c:v>
                </c:pt>
                <c:pt idx="13">
                  <c:v>3.08</c:v>
                </c:pt>
                <c:pt idx="14">
                  <c:v>3.04666666666667</c:v>
                </c:pt>
                <c:pt idx="15">
                  <c:v>3.17666666666667</c:v>
                </c:pt>
                <c:pt idx="16">
                  <c:v>3.14333333333333</c:v>
                </c:pt>
                <c:pt idx="17">
                  <c:v>2.44666666666667</c:v>
                </c:pt>
                <c:pt idx="18">
                  <c:v>2.93666666666667</c:v>
                </c:pt>
                <c:pt idx="19">
                  <c:v>3.17333333333333</c:v>
                </c:pt>
              </c:numCache>
            </c:numRef>
          </c:val>
          <c:smooth val="0"/>
        </c:ser>
        <c:ser>
          <c:idx val="3"/>
          <c:order val="3"/>
          <c:tx>
            <c:strRef>
              <c:f>label 3</c:f>
              <c:strCache>
                <c:ptCount val="1"/>
                <c:pt idx="0">
                  <c:v>Fork n/2</c:v>
                </c:pt>
              </c:strCache>
            </c:strRef>
          </c:tx>
          <c:spPr>
            <a:solidFill>
              <a:srgbClr val="579d1c"/>
            </a:solidFill>
            <a:ln w="28800">
              <a:solidFill>
                <a:srgbClr val="579d1c"/>
              </a:solidFill>
              <a:round/>
            </a:ln>
          </c:spPr>
          <c:marker>
            <c:symbol val="none"/>
          </c:marker>
          <c:dLbls>
            <c:showLegendKey val="0"/>
            <c:showVal val="0"/>
            <c:showCatName val="0"/>
            <c:showSerName val="0"/>
            <c:showPercent val="0"/>
            <c:showLeaderLines val="0"/>
          </c:dLbls>
          <c:cat>
            <c:strRef>
              <c:f>categories</c:f>
              <c:strCache>
                <c:ptCount val="20"/>
                <c:pt idx="0">
                  <c:v>144</c:v>
                </c:pt>
                <c:pt idx="1">
                  <c:v>256</c:v>
                </c:pt>
                <c:pt idx="2">
                  <c:v>400</c:v>
                </c:pt>
                <c:pt idx="3">
                  <c:v>576</c:v>
                </c:pt>
                <c:pt idx="4">
                  <c:v>784</c:v>
                </c:pt>
                <c:pt idx="5">
                  <c:v>1024</c:v>
                </c:pt>
                <c:pt idx="6">
                  <c:v>1296</c:v>
                </c:pt>
                <c:pt idx="7">
                  <c:v>1600</c:v>
                </c:pt>
                <c:pt idx="8">
                  <c:v>1936</c:v>
                </c:pt>
                <c:pt idx="9">
                  <c:v>2304</c:v>
                </c:pt>
                <c:pt idx="10">
                  <c:v>2704</c:v>
                </c:pt>
                <c:pt idx="11">
                  <c:v>3136</c:v>
                </c:pt>
                <c:pt idx="12">
                  <c:v>3600</c:v>
                </c:pt>
                <c:pt idx="13">
                  <c:v>4096</c:v>
                </c:pt>
                <c:pt idx="14">
                  <c:v>4624</c:v>
                </c:pt>
                <c:pt idx="15">
                  <c:v>5184</c:v>
                </c:pt>
                <c:pt idx="16">
                  <c:v>5776</c:v>
                </c:pt>
                <c:pt idx="17">
                  <c:v>6400</c:v>
                </c:pt>
                <c:pt idx="18">
                  <c:v>7056</c:v>
                </c:pt>
                <c:pt idx="19">
                  <c:v>7744</c:v>
                </c:pt>
              </c:strCache>
            </c:strRef>
          </c:cat>
          <c:val>
            <c:numRef>
              <c:f>3</c:f>
              <c:numCache>
                <c:formatCode>General</c:formatCode>
                <c:ptCount val="20"/>
                <c:pt idx="0">
                  <c:v>0.07</c:v>
                </c:pt>
                <c:pt idx="1">
                  <c:v>0.34</c:v>
                </c:pt>
                <c:pt idx="2">
                  <c:v>0.303333333333333</c:v>
                </c:pt>
                <c:pt idx="3">
                  <c:v>0.316666666666667</c:v>
                </c:pt>
                <c:pt idx="4">
                  <c:v>0.276666666666667</c:v>
                </c:pt>
                <c:pt idx="5">
                  <c:v>0.27</c:v>
                </c:pt>
                <c:pt idx="6">
                  <c:v>0.293333333333333</c:v>
                </c:pt>
                <c:pt idx="7">
                  <c:v>0.37</c:v>
                </c:pt>
                <c:pt idx="8">
                  <c:v>0.353333333333333</c:v>
                </c:pt>
                <c:pt idx="9">
                  <c:v>0.33</c:v>
                </c:pt>
                <c:pt idx="10">
                  <c:v>0.353333333333333</c:v>
                </c:pt>
                <c:pt idx="11">
                  <c:v>0.366666666666667</c:v>
                </c:pt>
                <c:pt idx="12">
                  <c:v>0.29</c:v>
                </c:pt>
                <c:pt idx="13">
                  <c:v>0.366666666666667</c:v>
                </c:pt>
                <c:pt idx="14">
                  <c:v>0.32</c:v>
                </c:pt>
                <c:pt idx="15">
                  <c:v>0.343333333333333</c:v>
                </c:pt>
                <c:pt idx="16">
                  <c:v>0.343333333333333</c:v>
                </c:pt>
                <c:pt idx="17">
                  <c:v>0.35</c:v>
                </c:pt>
                <c:pt idx="18">
                  <c:v>0.3</c:v>
                </c:pt>
                <c:pt idx="19">
                  <c:v>0.31</c:v>
                </c:pt>
              </c:numCache>
            </c:numRef>
          </c:val>
          <c:smooth val="0"/>
        </c:ser>
        <c:hiLowLines>
          <c:spPr>
            <a:ln>
              <a:noFill/>
            </a:ln>
          </c:spPr>
        </c:hiLowLines>
        <c:marker val="0"/>
        <c:axId val="8357834"/>
        <c:axId val="85101030"/>
      </c:lineChart>
      <c:catAx>
        <c:axId val="835783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Matrix Size (n)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5101030"/>
        <c:crosses val="autoZero"/>
        <c:auto val="1"/>
        <c:lblAlgn val="ctr"/>
        <c:lblOffset val="100"/>
      </c:catAx>
      <c:valAx>
        <c:axId val="8510103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(s)</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35783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2</Pages>
  <Words>302</Words>
  <Characters>1564</Characters>
  <CharactersWithSpaces>1866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2016-11-09T19:50:35Z</dcterms:created>
  <dc:creator/>
  <dc:description/>
  <dc:language>en-US</dc:language>
  <cp:lastModifiedBy/>
  <dcterms:modified xsi:type="dcterms:W3CDTF">2016-11-09T20:11:32Z</dcterms:modified>
  <cp:revision>2</cp:revision>
  <dc:subject/>
  <dc:title/>
</cp:coreProperties>
</file>