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S1. LMM testo full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3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S2. LMM testo final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14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S3. LMM testo post-hoc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3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F PESA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M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F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PESA - M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PESA - F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71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REPH - F REPH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S4. LMM males GnRH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GnRH (induced)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GnRH concentration (low)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GnRH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S5. LMM females GnRH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GnRH (induced)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GnRH concentration (low)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GnRH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S6. LMM haema full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3"/>
        <w:gridCol w:w="1279"/>
        <w:gridCol w:w="1084"/>
        <w:gridCol w:w="1206"/>
        <w:gridCol w:w="961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160.707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Testosterone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-134.222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Testosterone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Testosterone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Testosterone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S7. LMM haema final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14"/>
        <w:gridCol w:w="1279"/>
        <w:gridCol w:w="1084"/>
        <w:gridCol w:w="1206"/>
        <w:gridCol w:w="961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164.795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(red phalarope)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Testosterone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Scaled mass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x Sex x Date (quadratic)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intercept (ID)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S8. LMM haema post-hoc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3"/>
        <w:gridCol w:w="1266"/>
        <w:gridCol w:w="961"/>
        <w:gridCol w:w="118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F PESA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M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PESA - F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PESA - M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 PESA - F REPH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REPH - F REPH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2025-09-29T14:38:41Z</dcterms:modified>
  <cp:category/>
</cp:coreProperties>
</file>