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S1. LMM males testo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15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of the year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of the year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Scaled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S2. LMM females testo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of the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Scaled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S3. LMM males GnRH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GnRH 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GnRH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phalarope):GnRH 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S4. LMM females GnRH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GnRH 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GnRH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(red phalarope):GnRH 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S5. LMM haematocrit PESA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(female)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of the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Testosterone (logarithmic)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Scaled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S6. LMM haematocrit REPH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(female)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of the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Testosterone (logarithmic)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Scaled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2025-03-10T13:23:38Z</dcterms:modified>
  <cp:category/>
</cp:coreProperties>
</file>