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Warnings and Disclaimer in the WRC-1992 App: Source Review</w:t>
      </w:r>
    </w:p>
    <w:p>
      <w:pPr>
        <w:spacing w:after="320"/>
      </w:pPr>
      <w:r>
        <w:rPr>
          <w:color w:val="555555"/>
          <w:sz w:val="20"/>
          <w:szCs w:val="20"/>
        </w:rPr>
        <w:t xml:space="preserve">Review basis for a welding-metallurgy expert. Version 2026-09-09, describing the app as deployed after the reviewer’s comments of 9 September were applied (second revision). App: wrc-1992.vercel.app. Code: src/lib/warnings.ts.</w:t>
      </w:r>
    </w:p>
    <w:p>
      <w:pPr>
        <w:pStyle w:val="Heading1"/>
      </w:pPr>
      <w:r>
        <w:t xml:space="preserve">1. Purpose and scope</w:t>
      </w:r>
    </w:p>
    <w:p>
      <w:pPr>
        <w:spacing w:after="160" w:line="300"/>
      </w:pPr>
      <w:r>
        <w:t xml:space="preserve">This document lists every warning message and the standing disclaimer shown by the WRC-1992 web app and sets out what each statement rests on. It follows the same format as the review of the Schaeffler app and applies the principle agreed in that review: warn only for what the original research itself states, cover everything else with a general statement, and cite the primary sources.</w:t>
      </w:r>
    </w:p>
    <w:p>
      <w:pPr>
        <w:spacing w:after="160" w:line="300"/>
      </w:pPr>
      <w:r>
        <w:rPr>
          <w:b/>
          <w:bCs/>
        </w:rPr>
        <w:t xml:space="preserve">Authorship and revision.</w:t>
      </w:r>
      <w:r>
        <w:t xml:space="preserve"> The texts were written by Claude (Anthropic’s AI assistant) during development in July 2026. On 6 September 2026 they were checked against the two primary papers, both read in full, and revised where they departed from them. Section 4 lists what was changed and why. The texts quoted below are the ones now in the app.</w:t>
      </w:r>
    </w:p>
    <w:p>
      <w:pPr>
        <w:spacing w:after="160" w:line="300"/>
      </w:pPr>
      <w:r>
        <w:rPr>
          <w:b/>
          <w:bCs/>
        </w:rPr>
        <w:t xml:space="preserve">Sources.</w:t>
      </w:r>
      <w:r>
        <w:t xml:space="preserve"> The WRC-1992 diagram (Kotecki &amp; Siewert 1992) is a modification of the WRC-1988 diagram (Siewert, McCowan &amp; Olson 1988); the 1992 paper adds the copper term and the extended axes but takes its database, composition limits and accuracy figures from the 1988 paper. Both are therefore treated as primary sources. Quotations are given in English in both versions of this document; page references of the form 173-s refer to the Welding Research Supplement pagination.</w:t>
      </w:r>
    </w:p>
    <w:p>
      <w:pPr>
        <w:pStyle w:val="Heading1"/>
      </w:pPr>
      <w:r>
        <w:t xml:space="preserve">2.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100"/>
        <w:gridCol w:w="2926"/>
      </w:tblGrid>
      <w:tr>
        <w:trPr>
          <w:tblHeader/>
        </w:trPr>
        <w:tc>
          <w:tcPr>
            <w:tcW w:type="dxa" w:w="7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ID</w:t>
            </w:r>
          </w:p>
        </w:tc>
        <w:tc>
          <w:tcPr>
            <w:tcW w:type="dxa" w:w="33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Text in the app (example instance)</w:t>
            </w:r>
          </w:p>
        </w:tc>
        <w:tc>
          <w:tcPr>
            <w:tcW w:type="dxa" w:w="21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Trigger</w:t>
            </w:r>
          </w:p>
        </w:tc>
        <w:tc>
          <w:tcPr>
            <w:tcW w:type="dxa" w:w="2926"/>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Status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L</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prediction is less accurate above 10 % Mn, 3 % Mo, 0.2 % N or 1 % Si (Siewert, McCowan &amp; Olson 1988).</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Standing note, always shown (was a per-material warning until 9 Sept.)</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Verified: 1988 Conclusions, verbatim limits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Unalloyed base metals lie outside the diagram axes. The mixing line remains valid as long as the weld metal point lies on the diagram.</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Any of A, B or C with Cr</w:t>
            </w:r>
            <w:r>
              <w:rPr>
                <w:b w:val="false"/>
                <w:bCs w:val="false"/>
                <w:sz w:val="18"/>
                <w:szCs w:val="18"/>
                <w:vertAlign w:val="subscript"/>
              </w:rPr>
              <w:t xml:space="preserve">eq</w:t>
            </w:r>
            <w:r>
              <w:rPr>
                <w:b w:val="false"/>
                <w:bCs w:val="false"/>
                <w:sz w:val="18"/>
                <w:szCs w:val="18"/>
              </w:rPr>
              <w:t xml:space="preserve"> outside 17–31 or Ni</w:t>
            </w:r>
            <w:r>
              <w:rPr>
                <w:b w:val="false"/>
                <w:bCs w:val="false"/>
                <w:sz w:val="18"/>
                <w:szCs w:val="18"/>
                <w:vertAlign w:val="subscript"/>
              </w:rPr>
              <w:t xml:space="preserve">eq</w:t>
            </w:r>
            <w:r>
              <w:rPr>
                <w:b w:val="false"/>
                <w:bCs w:val="false"/>
                <w:sz w:val="18"/>
                <w:szCs w:val="18"/>
              </w:rPr>
              <w:t xml:space="preserve"> outside 9–18; shown once</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Verified: 1992 pp. 173-s–174-s (extended axes, dissimilar joints)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weld metal point lies outside the diagram area and no FN prediction is possible.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Final weld metal point outside the axes</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Geometric fact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weld metal point lies outside the region covered by the iso-FN lines; extending the lines could give erroneous predictions.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Final point inside the axes but outside the iso-FN fan</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Verified: 1992 Fig. 6 caption and p. 173-s; 1988 p. 293-s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Accuracy of the WRC-1992 prediction (Siewert, McCowan &amp; Olson 1988): below 18 FN, 84 % of predictions fall within ±2.5 FN; above 18 FN, 70 % fall within ±9 FN.</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Standing note, always shown (was a warning above 18 FN until 9 Sept.)</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Verified: 1988 Table 4</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One or more intermediate pass points lie outside the diagram area.</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Any intermediate multi-pass point outside the axes</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Geometric fact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WRC-1992 predicts Ferrite Number (FN). The prediction applies to weld metal at arc-welding cooling rates and is only valid inside the drawn iso-FN lines. The prediction is subject to the limitations and assumptions of the original WRC-1992 research.</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Always shown, followed by the two references</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Verified: 1992 p. 171-s; 1988 pp. 289-s, 291-s; Fig. 6 caption</w:t>
            </w:r>
          </w:p>
        </w:tc>
      </w:tr>
    </w:tbl>
    <w:p>
      <w:pPr>
        <w:spacing w:after="120"/>
      </w:pPr>
    </w:p>
    <w:p>
      <w:pPr>
        <w:pStyle w:val="Heading1"/>
      </w:pPr>
      <w:r>
        <w:t xml:space="preserve">3. Statement by statement</w:t>
      </w:r>
    </w:p>
    <w:p>
      <w:pPr>
        <w:pStyle w:val="Heading2"/>
      </w:pPr>
      <w:r>
        <w:t xml:space="preserve">L: composition limits of the database</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“The prediction is less accurate above 10 % Mn, 3 % Mo, 0.2 % N or 1 % Si (Siewert, McCowan &amp; Olson 1988).”</w:t>
      </w:r>
    </w:p>
    <w:p>
      <w:pPr>
        <w:spacing w:before="160" w:after="60"/>
      </w:pPr>
      <w:r>
        <w:rPr>
          <w:b/>
          <w:bCs/>
          <w:color w:val="1380a4"/>
          <w:sz w:val="20"/>
          <w:szCs w:val="20"/>
        </w:rPr>
        <w:t xml:space="preserve">Trigger</w:t>
      </w:r>
    </w:p>
    <w:p>
      <w:pPr>
        <w:spacing w:after="160" w:line="300"/>
      </w:pPr>
      <w:r>
        <w:t xml:space="preserve">warnings.ts, constant DISCLAIMER_NOTES. Always shown below the disclaimer; no longer evaluated per material. Until 9 September it was a warning raised for each material exceeding a limit, worded “the FN prediction is not reliable”; the reviewer asked for “less accurate” and for the limits to be stated as a general disclaimer with the reference.</w:t>
      </w:r>
    </w:p>
    <w:p>
      <w:pPr>
        <w:spacing w:before="160" w:after="60"/>
      </w:pPr>
      <w:r>
        <w:rPr>
          <w:b/>
          <w:bCs/>
          <w:color w:val="1380a4"/>
          <w:sz w:val="20"/>
          <w:szCs w:val="20"/>
        </w:rPr>
        <w:t xml:space="preserve">Basis</w:t>
      </w:r>
    </w:p>
    <w:p>
      <w:pPr>
        <w:spacing w:after="160" w:line="300"/>
      </w:pPr>
      <w:r>
        <w:t xml:space="preserve">These four limits are stated in the conclusions of the 1988 paper and repeated in its abstract. They are not restated in the 1992 paper, which keeps the 1988 database. The Mo limit was 3.5 in the app until 6 September 2026; the source says 3, and gives the reason.</w:t>
      </w:r>
    </w:p>
    <w:p>
      <w:pPr>
        <w:pBdr>
          <w:left w:val="single" w:color="1380a4" w:sz="12" w:space="8"/>
        </w:pBdr>
        <w:spacing w:after="40" w:line="280"/>
        <w:ind w:left="567"/>
      </w:pPr>
      <w:r>
        <w:rPr>
          <w:i/>
          <w:iCs/>
          <w:sz w:val="20"/>
          <w:szCs w:val="20"/>
        </w:rPr>
        <w:t xml:space="preserve">“The diagram is applicable for Mn contents to 10 wt-%, Mo contents to 3 wt-%, N contents to 0.2 wt-% and Si contents to 1 wt-%.”</w:t>
      </w:r>
    </w:p>
    <w:p>
      <w:pPr>
        <w:spacing w:after="160"/>
        <w:ind w:left="567"/>
      </w:pPr>
      <w:r>
        <w:rPr>
          <w:color w:val="555555"/>
          <w:sz w:val="18"/>
          <w:szCs w:val="18"/>
        </w:rPr>
        <w:t xml:space="preserve">– Siewert, McCowan &amp; Olson 1988, p. 297-s, Conclusion 2</w:t>
      </w:r>
    </w:p>
    <w:p>
      <w:pPr>
        <w:pBdr>
          <w:left w:val="single" w:color="1380a4" w:sz="12" w:space="8"/>
        </w:pBdr>
        <w:spacing w:after="40" w:line="280"/>
        <w:ind w:left="567"/>
      </w:pPr>
      <w:r>
        <w:rPr>
          <w:i/>
          <w:iCs/>
          <w:sz w:val="20"/>
          <w:szCs w:val="20"/>
        </w:rPr>
        <w:t xml:space="preserve">“The restriction of the Mo content to less than 3 wt-% resulted in a 2% improvement in the accuracy of the DeLong diagram, and a 4% improvement in the accuracy of the proposed diagram. This significant improvement in the proposed diagram may be the result of a Cr-Mo interaction that is excluded when Mo levels were limited to 3 wt-% […]”</w:t>
      </w:r>
    </w:p>
    <w:p>
      <w:pPr>
        <w:spacing w:after="160"/>
        <w:ind w:left="567"/>
      </w:pPr>
      <w:r>
        <w:rPr>
          <w:color w:val="555555"/>
          <w:sz w:val="18"/>
          <w:szCs w:val="18"/>
        </w:rPr>
        <w:t xml:space="preserve">– Siewert, McCowan &amp; Olson 1988, p. 294-s</w:t>
      </w:r>
    </w:p>
    <w:p>
      <w:pPr>
        <w:pBdr>
          <w:left w:val="single" w:color="1380a4" w:sz="12" w:space="8"/>
        </w:pBdr>
        <w:spacing w:after="40" w:line="280"/>
        <w:ind w:left="567"/>
      </w:pPr>
      <w:r>
        <w:rPr>
          <w:i/>
          <w:iCs/>
          <w:sz w:val="20"/>
          <w:szCs w:val="20"/>
        </w:rPr>
        <w:t xml:space="preserve">“Scarcity of data at very high element concentration levels does suggest some further restrictions; Mn &lt; 10 wt-% and N &lt; 0.2 wt-%. With these restrictions, the proposed diagram has better than an 88% chance of predicting the FN with an accuracy of ±2.5 FN […]”</w:t>
      </w:r>
    </w:p>
    <w:p>
      <w:pPr>
        <w:spacing w:after="160"/>
        <w:ind w:left="567"/>
      </w:pPr>
      <w:r>
        <w:rPr>
          <w:color w:val="555555"/>
          <w:sz w:val="18"/>
          <w:szCs w:val="18"/>
        </w:rPr>
        <w:t xml:space="preserve">– Siewert, McCowan &amp; Olson 1988, p. 294-s</w:t>
      </w:r>
    </w:p>
    <w:p>
      <w:pPr>
        <w:spacing w:before="160" w:after="60"/>
      </w:pPr>
      <w:r>
        <w:rPr>
          <w:b/>
          <w:bCs/>
          <w:color w:val="1380a4"/>
          <w:sz w:val="20"/>
          <w:szCs w:val="20"/>
        </w:rPr>
        <w:t xml:space="preserve">Assessment</w:t>
      </w:r>
    </w:p>
    <w:p>
      <w:pPr>
        <w:spacing w:after="160" w:line="300"/>
      </w:pPr>
      <w:r>
        <w:rPr>
          <w:b/>
          <w:bCs/>
        </w:rPr>
        <w:t xml:space="preserve">Verified and reviewed.</w:t>
      </w:r>
      <w:r>
        <w:t xml:space="preserve"> The limits are the original research’s own stated conditions. The reviewer’s wording (“less accurate”) matches the source, which quantifies a loss of accuracy rather than a validity boundary. Note that the database itself extends further (Table 1 of the 1988 paper: Mn 0.4–12, Mo 0–7, N 0.03–0.3, Si 0.1–1.3).</w:t>
      </w:r>
    </w:p>
    <w:p>
      <w:pPr>
        <w:pStyle w:val="Heading2"/>
      </w:pPr>
      <w:r>
        <w:t xml:space="preserve">W1: base metal outside the axes</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“Unalloyed base metals lie outside the diagram axes. The mixing line remains valid as long as the weld metal point lies on the diagram.”</w:t>
      </w:r>
    </w:p>
    <w:p>
      <w:pPr>
        <w:spacing w:before="160" w:after="60"/>
      </w:pPr>
      <w:r>
        <w:rPr>
          <w:b/>
          <w:bCs/>
          <w:color w:val="1380a4"/>
          <w:sz w:val="20"/>
          <w:szCs w:val="20"/>
        </w:rPr>
        <w:t xml:space="preserve">Trigger</w:t>
      </w:r>
    </w:p>
    <w:p>
      <w:pPr>
        <w:spacing w:after="160" w:line="300"/>
      </w:pPr>
      <w:r>
        <w:t xml:space="preserve">Shown once when any of material A, B or C has Cr</w:t>
      </w:r>
      <w:r>
        <w:rPr>
          <w:vertAlign w:val="subscript"/>
        </w:rPr>
        <w:t xml:space="preserve">eq</w:t>
      </w:r>
      <w:r>
        <w:t xml:space="preserve"> outside 17–31 or Ni</w:t>
      </w:r>
      <w:r>
        <w:rPr>
          <w:vertAlign w:val="subscript"/>
        </w:rPr>
        <w:t xml:space="preserve">eq</w:t>
      </w:r>
      <w:r>
        <w:t xml:space="preserve"> outside 9–18 (the drawn WRC-1992 axes). Fires for S355 in every dissimilar-joint example. The wording is the reviewer’s; until 9 September the text named the material and was longer.</w:t>
      </w:r>
    </w:p>
    <w:p>
      <w:pPr>
        <w:spacing w:before="160" w:after="60"/>
      </w:pPr>
      <w:r>
        <w:rPr>
          <w:b/>
          <w:bCs/>
          <w:color w:val="1380a4"/>
          <w:sz w:val="20"/>
          <w:szCs w:val="20"/>
        </w:rPr>
        <w:t xml:space="preserve">Basis</w:t>
      </w:r>
    </w:p>
    <w:p>
      <w:pPr>
        <w:spacing w:after="160" w:line="300"/>
      </w:pPr>
      <w:r>
        <w:t xml:space="preserve">The 1992 paper introduces the extended axes precisely for this case and works two examples with unalloyed base metals (AISI 1050 and ASTM A36) placed at Cr</w:t>
      </w:r>
      <w:r>
        <w:rPr>
          <w:vertAlign w:val="subscript"/>
        </w:rPr>
        <w:t xml:space="preserve">eq</w:t>
      </w:r>
      <w:r>
        <w:t xml:space="preserve"> = 0, for which no FN can be calculated but whose points anchor the dilution line.</w:t>
      </w:r>
    </w:p>
    <w:p>
      <w:pPr>
        <w:pBdr>
          <w:left w:val="single" w:color="1380a4" w:sz="12" w:space="8"/>
        </w:pBdr>
        <w:spacing w:after="40" w:line="280"/>
        <w:ind w:left="567"/>
      </w:pPr>
      <w:r>
        <w:rPr>
          <w:i/>
          <w:iCs/>
          <w:sz w:val="20"/>
          <w:szCs w:val="20"/>
        </w:rPr>
        <w:t xml:space="preserve">“Although Ferrite Numbers do not exist for weld deposits of low Crₑₖ and Niₑₖ, the positions of such alloys can still be located by extrapolated Crₑₖ and Niₑₖ units on the WRC-1992 diagram. Dilution calculations are based on linear combinations of the compositions, and the extended axes of the diagram allow visualization of the concept.”</w:t>
      </w:r>
    </w:p>
    <w:p>
      <w:pPr>
        <w:spacing w:after="160"/>
        <w:ind w:left="567"/>
      </w:pPr>
      <w:r>
        <w:rPr>
          <w:color w:val="555555"/>
          <w:sz w:val="18"/>
          <w:szCs w:val="18"/>
        </w:rPr>
        <w:t xml:space="preserve">– Kotecki &amp; Siewert 1992, p. 173-s</w:t>
      </w:r>
    </w:p>
    <w:p>
      <w:pPr>
        <w:pBdr>
          <w:left w:val="single" w:color="1380a4" w:sz="12" w:space="8"/>
        </w:pBdr>
        <w:spacing w:after="40" w:line="280"/>
        <w:ind w:left="567"/>
      </w:pPr>
      <w:r>
        <w:rPr>
          <w:i/>
          <w:iCs/>
          <w:sz w:val="20"/>
          <w:szCs w:val="20"/>
        </w:rPr>
        <w:t xml:space="preserve">“The Crₑₖ and Niₑₖ for the AISI 1050 steel (0.0 and 17.50, respectively) do not permit an FN calculation for this material.”</w:t>
      </w:r>
    </w:p>
    <w:p>
      <w:pPr>
        <w:spacing w:after="160"/>
        <w:ind w:left="567"/>
      </w:pPr>
      <w:r>
        <w:rPr>
          <w:color w:val="555555"/>
          <w:sz w:val="18"/>
          <w:szCs w:val="18"/>
        </w:rPr>
        <w:t xml:space="preserve">– Kotecki &amp; Siewert 1992, p. 173-s</w:t>
      </w:r>
    </w:p>
    <w:p>
      <w:pPr>
        <w:spacing w:before="160" w:after="60"/>
      </w:pPr>
      <w:r>
        <w:rPr>
          <w:b/>
          <w:bCs/>
          <w:color w:val="1380a4"/>
          <w:sz w:val="20"/>
          <w:szCs w:val="20"/>
        </w:rPr>
        <w:t xml:space="preserve">Assessment</w:t>
      </w:r>
    </w:p>
    <w:p>
      <w:pPr>
        <w:spacing w:after="160" w:line="300"/>
      </w:pPr>
      <w:r>
        <w:rPr>
          <w:b/>
          <w:bCs/>
        </w:rPr>
        <w:t xml:space="preserve">Verified and reviewed.</w:t>
      </w:r>
      <w:r>
        <w:t xml:space="preserve"> The reviewer agreed that a shorter wording is preferable and supplied the sentence now used.</w:t>
      </w:r>
    </w:p>
    <w:p>
      <w:pPr>
        <w:pStyle w:val="Heading2"/>
      </w:pPr>
      <w:r>
        <w:t xml:space="preserve">W2 and W5: weld metal or pass point outside the axes</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“The weld metal point lies outside the diagram area and no FN prediction is possible.”</w:t>
      </w:r>
    </w:p>
    <w:p>
      <w:pPr>
        <w:pBdr>
          <w:left w:val="single" w:color="1380a4" w:sz="12" w:space="8"/>
        </w:pBdr>
        <w:spacing w:after="120" w:line="280"/>
        <w:ind w:left="567"/>
      </w:pPr>
      <w:r>
        <w:rPr>
          <w:i/>
          <w:iCs/>
          <w:sz w:val="20"/>
          <w:szCs w:val="20"/>
        </w:rPr>
        <w:t xml:space="preserve">“One or more intermediate pass points lie outside the diagram area.”</w:t>
      </w:r>
    </w:p>
    <w:p>
      <w:pPr>
        <w:spacing w:before="160" w:after="60"/>
      </w:pPr>
      <w:r>
        <w:rPr>
          <w:b/>
          <w:bCs/>
          <w:color w:val="1380a4"/>
          <w:sz w:val="20"/>
          <w:szCs w:val="20"/>
        </w:rPr>
        <w:t xml:space="preserve">Basis and assessment</w:t>
      </w:r>
    </w:p>
    <w:p>
      <w:pPr>
        <w:spacing w:after="160" w:line="300"/>
      </w:pPr>
      <w:r>
        <w:t xml:space="preserve">Geometric facts about the drawn area; no source claim is made. The wording follows the one agreed for the Schaeffler app (“prediction is not possible”).</w:t>
      </w:r>
    </w:p>
    <w:p>
      <w:pPr>
        <w:pStyle w:val="Heading2"/>
      </w:pPr>
      <w:r>
        <w:t xml:space="preserve">W3: weld metal outside the iso-FN lines; martensite</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“The weld metal point lies outside the region covered by the iso-FN lines; extending the lines could give erroneous predictions.”</w:t>
      </w:r>
    </w:p>
    <w:p>
      <w:pPr>
        <w:spacing w:before="160" w:after="60"/>
      </w:pPr>
      <w:r>
        <w:rPr>
          <w:b/>
          <w:bCs/>
          <w:color w:val="1380a4"/>
          <w:sz w:val="20"/>
          <w:szCs w:val="20"/>
        </w:rPr>
        <w:t xml:space="preserve">Trigger</w:t>
      </w:r>
    </w:p>
    <w:p>
      <w:pPr>
        <w:spacing w:after="160" w:line="300"/>
      </w:pPr>
      <w:r>
        <w:t xml:space="preserve">The final weld metal point is inside the axes but the FN interpolation returns no value, i.e. the point is outside the fan of iso-FN lines (typically below and to the left of it).</w:t>
      </w:r>
    </w:p>
    <w:p>
      <w:pPr>
        <w:spacing w:before="160" w:after="60"/>
      </w:pPr>
      <w:r>
        <w:rPr>
          <w:b/>
          <w:bCs/>
          <w:color w:val="1380a4"/>
          <w:sz w:val="20"/>
          <w:szCs w:val="20"/>
        </w:rPr>
        <w:t xml:space="preserve">Basis</w:t>
      </w:r>
    </w:p>
    <w:p>
      <w:pPr>
        <w:spacing w:after="160" w:line="300"/>
      </w:pPr>
      <w:r>
        <w:t xml:space="preserve">The sentence comes from the caption of Fig. 6 in the 1992 paper. Two earlier elements were removed: a separate “martensite risk” warning triggered by a fixed corner inside the diagram (removed 6 September; no support in the sources), and a second sentence in this warning about martensite below the lower FN lines (removed 9 September at the reviewer’s request: no reference to martensite or to other diagrams).</w:t>
      </w:r>
    </w:p>
    <w:p>
      <w:pPr>
        <w:pBdr>
          <w:left w:val="single" w:color="1380a4" w:sz="12" w:space="8"/>
        </w:pBdr>
        <w:spacing w:after="40" w:line="280"/>
        <w:ind w:left="567"/>
      </w:pPr>
      <w:r>
        <w:rPr>
          <w:i/>
          <w:iCs/>
          <w:sz w:val="20"/>
          <w:szCs w:val="20"/>
        </w:rPr>
        <w:t xml:space="preserve">“The FN prediction is only accurate for weld compositions that fall within the bounds of the iso-FN lines (0 to 100 FN) that are drawn on the diagram. The limits of the diagram were determined by the extent of the database, and extension of the lines could result in erroneous predictions.”</w:t>
      </w:r>
    </w:p>
    <w:p>
      <w:pPr>
        <w:spacing w:after="160"/>
        <w:ind w:left="567"/>
      </w:pPr>
      <w:r>
        <w:rPr>
          <w:color w:val="555555"/>
          <w:sz w:val="18"/>
          <w:szCs w:val="18"/>
        </w:rPr>
        <w:t xml:space="preserve">– Kotecki &amp; Siewert 1992, Fig. 6 caption</w:t>
      </w:r>
    </w:p>
    <w:p>
      <w:pPr>
        <w:pBdr>
          <w:left w:val="single" w:color="1380a4" w:sz="12" w:space="8"/>
        </w:pBdr>
        <w:spacing w:after="40" w:line="280"/>
        <w:ind w:left="567"/>
      </w:pPr>
      <w:r>
        <w:rPr>
          <w:i/>
          <w:iCs/>
          <w:sz w:val="20"/>
          <w:szCs w:val="20"/>
        </w:rPr>
        <w:t xml:space="preserve">“For some Crₑₖ and Niₑₖ values beyond the lower limits of the FN lines in the WRC-1992 diagram, martensite may be found in the weld metals. […] Because of the differing effects of Mn in the two temperature ranges, it is not possible to include a single line bounding martensite-containing weld metals on the WRC-1992 diagram.”</w:t>
      </w:r>
    </w:p>
    <w:p>
      <w:pPr>
        <w:spacing w:after="160"/>
        <w:ind w:left="567"/>
      </w:pPr>
      <w:r>
        <w:rPr>
          <w:color w:val="555555"/>
          <w:sz w:val="18"/>
          <w:szCs w:val="18"/>
        </w:rPr>
        <w:t xml:space="preserve">– Kotecki &amp; Siewert 1992, p. 173-s</w:t>
      </w:r>
    </w:p>
    <w:p>
      <w:pPr>
        <w:pBdr>
          <w:left w:val="single" w:color="1380a4" w:sz="12" w:space="8"/>
        </w:pBdr>
        <w:spacing w:after="40" w:line="280"/>
        <w:ind w:left="567"/>
      </w:pPr>
      <w:r>
        <w:rPr>
          <w:i/>
          <w:iCs/>
          <w:sz w:val="20"/>
          <w:szCs w:val="20"/>
        </w:rPr>
        <w:t xml:space="preserve">“Therefore, a line denoting the region where martensite and austenite could coexist was not included. Examination of the lower-left region of the map does not reveal a change in line slope and so the effect of martensite seems small for the commercially useful data we studied.”</w:t>
      </w:r>
    </w:p>
    <w:p>
      <w:pPr>
        <w:spacing w:after="160"/>
        <w:ind w:left="567"/>
      </w:pPr>
      <w:r>
        <w:rPr>
          <w:color w:val="555555"/>
          <w:sz w:val="18"/>
          <w:szCs w:val="18"/>
        </w:rPr>
        <w:t xml:space="preserve">– Siewert, McCowan &amp; Olson 1988, p. 293-s</w:t>
      </w:r>
    </w:p>
    <w:p>
      <w:pPr>
        <w:spacing w:before="160" w:after="60"/>
      </w:pPr>
      <w:r>
        <w:rPr>
          <w:b/>
          <w:bCs/>
          <w:color w:val="1380a4"/>
          <w:sz w:val="20"/>
          <w:szCs w:val="20"/>
        </w:rPr>
        <w:t xml:space="preserve">Assessment</w:t>
      </w:r>
    </w:p>
    <w:p>
      <w:pPr>
        <w:spacing w:after="160" w:line="300"/>
      </w:pPr>
      <w:r>
        <w:rPr>
          <w:b/>
          <w:bCs/>
        </w:rPr>
        <w:t xml:space="preserve">Verified and reviewed.</w:t>
      </w:r>
      <w:r>
        <w:t xml:space="preserve"> The reviewer ruled out any reference to martensite or to other diagrams in the app; the martensite quotations above are retained here only as background.</w:t>
      </w:r>
    </w:p>
    <w:p>
      <w:pPr>
        <w:pStyle w:val="Heading2"/>
      </w:pPr>
      <w:r>
        <w:t xml:space="preserve">W4: accuracy above 18 FN</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“Accuracy of the WRC-1992 prediction (Siewert, McCowan &amp; Olson 1988): below 18 FN, 84 % of predictions fall within ±2.5 FN; above 18 FN, 70 % fall within ±9 FN.”</w:t>
      </w:r>
    </w:p>
    <w:p>
      <w:pPr>
        <w:spacing w:before="160" w:after="60"/>
      </w:pPr>
      <w:r>
        <w:rPr>
          <w:b/>
          <w:bCs/>
          <w:color w:val="1380a4"/>
          <w:sz w:val="20"/>
          <w:szCs w:val="20"/>
        </w:rPr>
        <w:t xml:space="preserve">Trigger</w:t>
      </w:r>
    </w:p>
    <w:p>
      <w:pPr>
        <w:spacing w:after="160" w:line="300"/>
      </w:pPr>
      <w:r>
        <w:t xml:space="preserve">Standing note in DISCLAIMER_NOTES, always shown. Until 6 September this was a warning above 50 FN (a figure in neither paper), then a warning above 18 FN; on 9 September the reviewer asked for a general text, always visible, giving both accuracy figures with the reference.</w:t>
      </w:r>
    </w:p>
    <w:p>
      <w:pPr>
        <w:spacing w:before="160" w:after="60"/>
      </w:pPr>
      <w:r>
        <w:rPr>
          <w:b/>
          <w:bCs/>
          <w:color w:val="1380a4"/>
          <w:sz w:val="20"/>
          <w:szCs w:val="20"/>
        </w:rPr>
        <w:t xml:space="preserve">Basis</w:t>
      </w:r>
    </w:p>
    <w:p>
      <w:pPr>
        <w:spacing w:after="160" w:line="300"/>
      </w:pPr>
      <w:r>
        <w:t xml:space="preserve">Table 4 of the 1988 paper splits the database at 18 FN and reports the fraction of predictions within a tolerance: below 18 FN, 84 % within ±2.5 FN; above 18 FN, 70 % within ±9 FN. The threshold and both tolerances in the app text are taken from that table. The 1992 paper’s own duplex data (Table 1, 30–100 FN) show a standard error of about 8 FN, consistent with it.</w:t>
      </w:r>
    </w:p>
    <w:p>
      <w:pPr>
        <w:pBdr>
          <w:left w:val="single" w:color="1380a4" w:sz="12" w:space="8"/>
        </w:pBdr>
        <w:spacing w:after="40" w:line="280"/>
        <w:ind w:left="567"/>
      </w:pPr>
      <w:r>
        <w:rPr>
          <w:i/>
          <w:iCs/>
          <w:sz w:val="20"/>
          <w:szCs w:val="20"/>
        </w:rPr>
        <w:t xml:space="preserve">“Table 4 — Comparison of the Accuracy of the Schaeffler Diagram and the Proposed Diagram. FN &gt; 18: error less than ± 9 FN — Schaeffler 35 %, Proposed 70 % (124 / 125 cases). FN &lt; 18: error less than ± 2.5 FN — Schaeffler 52 %, Proposed 84 % (771 / 740 cases).”</w:t>
      </w:r>
    </w:p>
    <w:p>
      <w:pPr>
        <w:spacing w:after="160"/>
        <w:ind w:left="567"/>
      </w:pPr>
      <w:r>
        <w:rPr>
          <w:color w:val="555555"/>
          <w:sz w:val="18"/>
          <w:szCs w:val="18"/>
        </w:rPr>
        <w:t xml:space="preserve">– Siewert, McCowan &amp; Olson 1988, p. 296-s (table transcribed)</w:t>
      </w:r>
    </w:p>
    <w:p>
      <w:pPr>
        <w:spacing w:before="160" w:after="60"/>
      </w:pPr>
      <w:r>
        <w:rPr>
          <w:b/>
          <w:bCs/>
          <w:color w:val="1380a4"/>
          <w:sz w:val="20"/>
          <w:szCs w:val="20"/>
        </w:rPr>
        <w:t xml:space="preserve">Assessment</w:t>
      </w:r>
    </w:p>
    <w:p>
      <w:pPr>
        <w:spacing w:after="160" w:line="300"/>
      </w:pPr>
      <w:r>
        <w:rPr>
          <w:b/>
          <w:bCs/>
        </w:rPr>
        <w:t xml:space="preserve">Verified and reviewed.</w:t>
      </w:r>
      <w:r>
        <w:t xml:space="preserve"> The note now states both percentages and both tolerances exactly as in Table 4.</w:t>
      </w:r>
    </w:p>
    <w:p>
      <w:pPr>
        <w:pStyle w:val="Heading2"/>
      </w:pPr>
      <w:r>
        <w:t xml:space="preserve">D: the standing disclaimer and references</w:t>
      </w:r>
    </w:p>
    <w:p>
      <w:pPr>
        <w:spacing w:before="160" w:after="60"/>
      </w:pPr>
      <w:r>
        <w:rPr>
          <w:b/>
          <w:bCs/>
          <w:color w:val="1380a4"/>
          <w:sz w:val="20"/>
          <w:szCs w:val="20"/>
        </w:rPr>
        <w:t xml:space="preserve">Text in the app</w:t>
      </w:r>
    </w:p>
    <w:p>
      <w:pPr>
        <w:pBdr>
          <w:left w:val="single" w:color="1380a4" w:sz="12" w:space="8"/>
        </w:pBdr>
        <w:spacing w:after="120" w:line="280"/>
        <w:ind w:left="567"/>
      </w:pPr>
      <w:r>
        <w:rPr>
          <w:i/>
          <w:iCs/>
          <w:sz w:val="20"/>
          <w:szCs w:val="20"/>
        </w:rPr>
        <w:t xml:space="preserve">“WRC-1992 predicts Ferrite Number (FN). The prediction applies to weld metal at arc-welding cooling rates and is only valid inside the drawn iso-FN lines. The prediction is subject to the limitations and assumptions of the original WRC-1992 research.”</w:t>
      </w:r>
    </w:p>
    <w:p>
      <w:pPr>
        <w:pBdr>
          <w:left w:val="single" w:color="1380a4" w:sz="12" w:space="8"/>
        </w:pBdr>
        <w:spacing w:after="120" w:line="280"/>
        <w:ind w:left="567"/>
      </w:pPr>
      <w:r>
        <w:rPr>
          <w:i/>
          <w:iCs/>
          <w:sz w:val="20"/>
          <w:szCs w:val="20"/>
        </w:rPr>
        <w:t xml:space="preserve">“Kotecki, D. J. &amp; Siewert, T. A. (1992). WRC-1992 constitution diagram for stainless steel weld metals: a modification of the WRC-1988 diagram. Welding Journal 71(5), 171-s–178-s.”</w:t>
      </w:r>
    </w:p>
    <w:p>
      <w:pPr>
        <w:pBdr>
          <w:left w:val="single" w:color="1380a4" w:sz="12" w:space="8"/>
        </w:pBdr>
        <w:spacing w:after="120" w:line="280"/>
        <w:ind w:left="567"/>
      </w:pPr>
      <w:r>
        <w:rPr>
          <w:i/>
          <w:iCs/>
          <w:sz w:val="20"/>
          <w:szCs w:val="20"/>
        </w:rPr>
        <w:t xml:space="preserve">“Siewert, T. A., McCowan, C. N. &amp; Olson, D. L. (1988). Ferrite Number prediction to 100 FN in stainless steel weld metal. Welding Journal 67(12), 289-s–298-s.”</w:t>
      </w:r>
    </w:p>
    <w:p>
      <w:pPr>
        <w:spacing w:before="160" w:after="60"/>
      </w:pPr>
      <w:r>
        <w:rPr>
          <w:b/>
          <w:bCs/>
          <w:color w:val="1380a4"/>
          <w:sz w:val="20"/>
          <w:szCs w:val="20"/>
        </w:rPr>
        <w:t xml:space="preserve">Basis</w:t>
      </w:r>
    </w:p>
    <w:p>
      <w:pPr>
        <w:spacing w:after="160" w:line="300"/>
      </w:pPr>
      <w:r>
        <w:t xml:space="preserve">The wording is the reviewer’s (9 September). Two claims remain: arc-welding cooling rates (the 1988 database was produced almost entirely with shielded metal arc electrodes to AWS A5.4, and the paper explicitly does not evaluate other conditions) and validity inside the drawn lines (the Fig. 6 caption quoted under W3). The earlier explanation of FN versus volume-% ferrite was dropped at the reviewer’s request.</w:t>
      </w:r>
    </w:p>
    <w:p>
      <w:pPr>
        <w:pBdr>
          <w:left w:val="single" w:color="1380a4" w:sz="12" w:space="8"/>
        </w:pBdr>
        <w:spacing w:after="40" w:line="280"/>
        <w:ind w:left="567"/>
      </w:pPr>
      <w:r>
        <w:rPr>
          <w:i/>
          <w:iCs/>
          <w:sz w:val="20"/>
          <w:szCs w:val="20"/>
        </w:rPr>
        <w:t xml:space="preserve">“In fact, the great majority of data were produced with shielded metal arc electrodes conforming to AWS Specification A5.4. […] The equation was not evaluated for welds produced under conditions outside those specified in A5.4.”</w:t>
      </w:r>
    </w:p>
    <w:p>
      <w:pPr>
        <w:spacing w:after="160"/>
        <w:ind w:left="567"/>
      </w:pPr>
      <w:r>
        <w:rPr>
          <w:color w:val="555555"/>
          <w:sz w:val="18"/>
          <w:szCs w:val="18"/>
        </w:rPr>
        <w:t xml:space="preserve">– Siewert, McCowan &amp; Olson 1988, p. 291-s</w:t>
      </w:r>
    </w:p>
    <w:p>
      <w:pPr>
        <w:spacing w:before="160" w:after="60"/>
      </w:pPr>
      <w:r>
        <w:rPr>
          <w:b/>
          <w:bCs/>
          <w:color w:val="1380a4"/>
          <w:sz w:val="20"/>
          <w:szCs w:val="20"/>
        </w:rPr>
        <w:t xml:space="preserve">Assessment</w:t>
      </w:r>
    </w:p>
    <w:p>
      <w:pPr>
        <w:spacing w:after="160" w:line="300"/>
      </w:pPr>
      <w:r>
        <w:rPr>
          <w:b/>
          <w:bCs/>
        </w:rPr>
        <w:t xml:space="preserve">Verified and reviewed.</w:t>
      </w:r>
      <w:r>
        <w:t xml:space="preserve"> The disclaimer is now the reviewer’s text, followed by the two standing notes (L and W4) and the two references.</w:t>
      </w:r>
    </w:p>
    <w:p>
      <w:pPr>
        <w:pStyle w:val="Heading1"/>
      </w:pPr>
      <w:r>
        <w:t xml:space="preserve">4. Changes made</w:t>
      </w:r>
    </w:p>
    <w:p>
      <w:pPr>
        <w:pStyle w:val="Heading2"/>
      </w:pPr>
      <w:r>
        <w:t xml:space="preserve">4.1 Second revision, 9 September 2026 (reviewer’s comments)</w:t>
      </w:r>
    </w:p>
    <w:p>
      <w:pPr>
        <w:pStyle w:val="ListParagraph"/>
        <w:numPr>
          <w:ilvl w:val="0"/>
          <w:numId w:val="2"/>
        </w:numPr>
        <w:spacing w:after="100" w:line="280"/>
      </w:pPr>
      <w:r>
        <w:rPr>
          <w:b/>
          <w:bCs/>
        </w:rPr>
        <w:t xml:space="preserve">Composition-limit warnings replaced by a standing note</w:t>
      </w:r>
      <w:r>
        <w:t xml:space="preserve"> with the wording “less accurate” and the 1988 reference.</w:t>
      </w:r>
    </w:p>
    <w:p>
      <w:pPr>
        <w:pStyle w:val="ListParagraph"/>
        <w:numPr>
          <w:ilvl w:val="0"/>
          <w:numId w:val="2"/>
        </w:numPr>
        <w:spacing w:after="100" w:line="280"/>
      </w:pPr>
      <w:r>
        <w:rPr>
          <w:b/>
          <w:bCs/>
        </w:rPr>
        <w:t xml:space="preserve">W1 shortened to the reviewer’s sentence</w:t>
      </w:r>
      <w:r>
        <w:t xml:space="preserve">, shown once without material names.</w:t>
      </w:r>
    </w:p>
    <w:p>
      <w:pPr>
        <w:pStyle w:val="ListParagraph"/>
        <w:numPr>
          <w:ilvl w:val="0"/>
          <w:numId w:val="2"/>
        </w:numPr>
        <w:spacing w:after="100" w:line="280"/>
      </w:pPr>
      <w:r>
        <w:rPr>
          <w:b/>
          <w:bCs/>
        </w:rPr>
        <w:t xml:space="preserve">W3: the martensite sentence removed</w:t>
      </w:r>
      <w:r>
        <w:t xml:space="preserve">; no reference to martensite or other diagrams anywhere in the app.</w:t>
      </w:r>
    </w:p>
    <w:p>
      <w:pPr>
        <w:pStyle w:val="ListParagraph"/>
        <w:numPr>
          <w:ilvl w:val="0"/>
          <w:numId w:val="2"/>
        </w:numPr>
        <w:spacing w:after="100" w:line="280"/>
      </w:pPr>
      <w:r>
        <w:rPr>
          <w:b/>
          <w:bCs/>
        </w:rPr>
        <w:t xml:space="preserve">High-FN warning replaced by a standing accuracy note</w:t>
      </w:r>
      <w:r>
        <w:t xml:space="preserve"> (84 % within ±2.5 FN below 18 FN; 70 % within ±9 FN above) with the 1988 reference.</w:t>
      </w:r>
    </w:p>
    <w:p>
      <w:pPr>
        <w:pStyle w:val="ListParagraph"/>
        <w:numPr>
          <w:ilvl w:val="0"/>
          <w:numId w:val="2"/>
        </w:numPr>
        <w:spacing w:after="100" w:line="280"/>
      </w:pPr>
      <w:r>
        <w:rPr>
          <w:b/>
          <w:bCs/>
        </w:rPr>
        <w:t xml:space="preserve">Disclaimer replaced by the reviewer’s text</w:t>
      </w:r>
      <w:r>
        <w:t xml:space="preserve">; the FN-versus-volume-% explanation dropped.</w:t>
      </w:r>
    </w:p>
    <w:p>
      <w:pPr>
        <w:pStyle w:val="ListParagraph"/>
        <w:numPr>
          <w:ilvl w:val="0"/>
          <w:numId w:val="2"/>
        </w:numPr>
        <w:spacing w:after="100" w:line="280"/>
      </w:pPr>
      <w:r>
        <w:rPr>
          <w:b/>
          <w:bCs/>
        </w:rPr>
        <w:t xml:space="preserve">Result panel: the parenthetical “(≈ vol-% ferrite at low FN)” after the predicted FN removed</w:t>
      </w:r>
      <w:r>
        <w:t xml:space="preserve"> at the reviewer’s request; the panel now states the FN only.</w:t>
      </w:r>
    </w:p>
    <w:p>
      <w:pPr>
        <w:pStyle w:val="Heading2"/>
      </w:pPr>
      <w:r>
        <w:t xml:space="preserve">4.2 First revision, 6 September 2026 (source check)</w:t>
      </w:r>
    </w:p>
    <w:p>
      <w:pPr>
        <w:spacing w:after="160" w:line="300"/>
      </w:pPr>
      <w:r>
        <w:t xml:space="preserve">The state before the first revision and the reason for each change:</w:t>
      </w:r>
    </w:p>
    <w:p>
      <w:pPr>
        <w:pStyle w:val="ListParagraph"/>
        <w:numPr>
          <w:ilvl w:val="0"/>
          <w:numId w:val="2"/>
        </w:numPr>
        <w:spacing w:after="100" w:line="280"/>
      </w:pPr>
      <w:r>
        <w:rPr>
          <w:b/>
          <w:bCs/>
        </w:rPr>
        <w:t xml:space="preserve">Mo limit 3.5 → 3 wt-%.</w:t>
      </w:r>
      <w:r>
        <w:t xml:space="preserve"> The code and its comment disagreed (3.5 vs 3); the 1988 conclusions say 3.</w:t>
      </w:r>
    </w:p>
    <w:p>
      <w:pPr>
        <w:pStyle w:val="ListParagraph"/>
        <w:numPr>
          <w:ilvl w:val="0"/>
          <w:numId w:val="2"/>
        </w:numPr>
        <w:spacing w:after="100" w:line="280"/>
      </w:pPr>
      <w:r>
        <w:rPr>
          <w:b/>
          <w:bCs/>
        </w:rPr>
        <w:t xml:space="preserve">High-FN note: threshold 50 → 18, wording “less accurate” → “±2.5 FN to ±9 FN”.</w:t>
      </w:r>
      <w:r>
        <w:t xml:space="preserve"> The figure 50 had no source; Table 4 of the 1988 paper gives 18 and the tolerances.</w:t>
      </w:r>
    </w:p>
    <w:p>
      <w:pPr>
        <w:pStyle w:val="ListParagraph"/>
        <w:numPr>
          <w:ilvl w:val="0"/>
          <w:numId w:val="2"/>
        </w:numPr>
        <w:spacing w:after="100" w:line="280"/>
      </w:pPr>
      <w:r>
        <w:rPr>
          <w:b/>
          <w:bCs/>
        </w:rPr>
        <w:t xml:space="preserve">Separate “martensite risk” warning removed.</w:t>
      </w:r>
      <w:r>
        <w:t xml:space="preserve"> Its trigger, a fixed corner inside the diagram, was an app construction. The martensite remark now accompanies W3, where the sources place it.</w:t>
      </w:r>
    </w:p>
    <w:p>
      <w:pPr>
        <w:pStyle w:val="ListParagraph"/>
        <w:numPr>
          <w:ilvl w:val="0"/>
          <w:numId w:val="2"/>
        </w:numPr>
        <w:spacing w:after="100" w:line="280"/>
      </w:pPr>
      <w:r>
        <w:rPr>
          <w:b/>
          <w:bCs/>
        </w:rPr>
        <w:t xml:space="preserve">Disclaimer: “duplex weld metals at FN ≈ 50 hold roughly 0.7 × FN vol-%” → “100 FN corresponds to roughly 65 vol-% ferrite”.</w:t>
      </w:r>
      <w:r>
        <w:t xml:space="preserve"> The 0.7 factor stems from later work not read for this review; the 65 vol-% figure is in the 1988 paper. The sentence “Unlike Schaeffler, the model includes nitrogen and copper” was dropped as unnecessary.</w:t>
      </w:r>
    </w:p>
    <w:p>
      <w:pPr>
        <w:pStyle w:val="ListParagraph"/>
        <w:numPr>
          <w:ilvl w:val="0"/>
          <w:numId w:val="2"/>
        </w:numPr>
        <w:spacing w:after="100" w:line="280"/>
      </w:pPr>
      <w:r>
        <w:rPr>
          <w:b/>
          <w:bCs/>
        </w:rPr>
        <w:t xml:space="preserve">General limitation statement and two references added</w:t>
      </w:r>
      <w:r>
        <w:t xml:space="preserve">, mirroring the Schaeffler app.</w:t>
      </w:r>
    </w:p>
    <w:p>
      <w:pPr>
        <w:pStyle w:val="ListParagraph"/>
        <w:numPr>
          <w:ilvl w:val="0"/>
          <w:numId w:val="2"/>
        </w:numPr>
        <w:spacing w:after="100" w:line="280"/>
      </w:pPr>
      <w:r>
        <w:rPr>
          <w:b/>
          <w:bCs/>
        </w:rPr>
        <w:t xml:space="preserve">All warning texts shortened</w:t>
      </w:r>
      <w:r>
        <w:t xml:space="preserve">; the outside-axes text for weld metal now reads “prediction is not possible”, as agreed for the Schaeffler app.</w:t>
      </w:r>
    </w:p>
    <w:p>
      <w:pPr>
        <w:pStyle w:val="Heading1"/>
      </w:pPr>
      <w:r>
        <w:t xml:space="preserve">5. Review status</w:t>
      </w:r>
    </w:p>
    <w:p>
      <w:pPr>
        <w:spacing w:after="160" w:line="300"/>
      </w:pPr>
      <w:r>
        <w:t xml:space="preserve">All questions raised in the 6 September version were answered by the reviewer on 9 September and applied as described in section 4.1. One item was not commented on and remains open for a later round:</w:t>
      </w:r>
    </w:p>
    <w:p>
      <w:pPr>
        <w:pStyle w:val="ListParagraph"/>
        <w:numPr>
          <w:ilvl w:val="0"/>
          <w:numId w:val="2"/>
        </w:numPr>
        <w:spacing w:after="100" w:line="280"/>
      </w:pPr>
      <w:r>
        <w:t xml:space="preserve">Whether the AF/FA solidification-mode boundary should be presented as a hot-cracking guide (1988, p. 296-s).</w:t>
      </w:r>
    </w:p>
    <w:p>
      <w:pPr>
        <w:pStyle w:val="Heading1"/>
      </w:pPr>
      <w:r>
        <w:t xml:space="preserve">6. Sources</w:t>
      </w:r>
    </w:p>
    <w:p>
      <w:pPr>
        <w:spacing w:after="160" w:line="300"/>
      </w:pPr>
      <w:r>
        <w:rPr>
          <w:b/>
          <w:bCs/>
        </w:rPr>
        <w:t xml:space="preserve">Read in full for this review</w:t>
      </w:r>
      <w:r>
        <w:t xml:space="preserve"> (files in the project’s källor folder):</w:t>
      </w:r>
    </w:p>
    <w:p>
      <w:pPr>
        <w:pStyle w:val="ListParagraph"/>
        <w:numPr>
          <w:ilvl w:val="0"/>
          <w:numId w:val="2"/>
        </w:numPr>
        <w:spacing w:after="100" w:line="280"/>
      </w:pPr>
      <w:r>
        <w:t xml:space="preserve">Kotecki, D. J. &amp; Siewert, T. A. (1992). WRC-1992 constitution diagram for stainless steel weld metals: a modification of the WRC-1988 diagram. </w:t>
      </w:r>
      <w:r>
        <w:rPr>
          <w:i/>
          <w:iCs/>
        </w:rPr>
        <w:t xml:space="preserve">Welding Journal</w:t>
      </w:r>
      <w:r>
        <w:t xml:space="preserve"> 71(5), 171-s–178-s. [WJ_1992_05_s171.pdf]</w:t>
      </w:r>
    </w:p>
    <w:p>
      <w:pPr>
        <w:pStyle w:val="ListParagraph"/>
        <w:numPr>
          <w:ilvl w:val="0"/>
          <w:numId w:val="2"/>
        </w:numPr>
        <w:spacing w:after="100" w:line="280"/>
      </w:pPr>
      <w:r>
        <w:t xml:space="preserve">Siewert, T. A., McCowan, C. N. &amp; Olson, D. L. (1988). Ferrite Number prediction to 100 FN in stainless steel weld metal. </w:t>
      </w:r>
      <w:r>
        <w:rPr>
          <w:i/>
          <w:iCs/>
        </w:rPr>
        <w:t xml:space="preserve">Welding Journal</w:t>
      </w:r>
      <w:r>
        <w:t xml:space="preserve"> 67(12), 289-s–298-s. [WJ_1988_12_s289.pdf, from the AWS archive]</w:t>
      </w:r>
    </w:p>
    <w:p>
      <w:pPr>
        <w:spacing w:after="160" w:line="300"/>
      </w:pPr>
      <w:r>
        <w:rPr>
          <w:b/>
          <w:bCs/>
        </w:rPr>
        <w:t xml:space="preserve">Not read</w:t>
      </w:r>
      <w:r>
        <w:t xml:space="preserve"> (would settle open points):</w:t>
      </w:r>
    </w:p>
    <w:p>
      <w:pPr>
        <w:pStyle w:val="ListParagraph"/>
        <w:numPr>
          <w:ilvl w:val="0"/>
          <w:numId w:val="2"/>
        </w:numPr>
        <w:spacing w:after="100" w:line="280"/>
      </w:pPr>
      <w:r>
        <w:t xml:space="preserve">Kotecki, D. J. (1997). Ferrite determination in stainless steel welds: advances since 1974. </w:t>
      </w:r>
      <w:r>
        <w:rPr>
          <w:i/>
          <w:iCs/>
        </w:rPr>
        <w:t xml:space="preserve">Welding Journal</w:t>
      </w:r>
      <w:r>
        <w:t xml:space="preserve"> 76(1), 24-s–37-s. (FN–volume-% relation for duplex weld metal.)</w:t>
      </w:r>
    </w:p>
    <w:p>
      <w:pPr>
        <w:pStyle w:val="ListParagraph"/>
        <w:numPr>
          <w:ilvl w:val="0"/>
          <w:numId w:val="2"/>
        </w:numPr>
        <w:spacing w:after="100" w:line="280"/>
      </w:pPr>
      <w:r>
        <w:t xml:space="preserve">McCowan, C. N., Siewert, T. A. &amp; Olson, D. L. (1989). Stainless steel welds: prediction of ferrite content. WRC Bulletin 343. (Full database description.)</w:t>
      </w:r>
    </w:p>
    <w:p>
      <w:pPr>
        <w:pStyle w:val="ListParagraph"/>
        <w:numPr>
          <w:ilvl w:val="0"/>
          <w:numId w:val="2"/>
        </w:numPr>
        <w:spacing w:after="100" w:line="280"/>
      </w:pPr>
      <w:r>
        <w:t xml:space="preserve">Lippold, J. C. &amp; Kotecki, D. J. (2005). </w:t>
      </w:r>
      <w:r>
        <w:rPr>
          <w:i/>
          <w:iCs/>
        </w:rPr>
        <w:t xml:space="preserve">Welding Metallurgy and Weldability of Stainless Steels.</w:t>
      </w:r>
      <w:r>
        <w:t xml:space="preserve"> Wiley.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University West · HV.SE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03b5b"/>
      <w:sz w:val="36"/>
      <w:szCs w:val="36"/>
    </w:rPr>
  </w:style>
  <w:style w:type="paragraph" w:styleId="Heading1">
    <w:name w:val="Heading 1"/>
    <w:basedOn w:val="Normal"/>
    <w:next w:val="Normal"/>
    <w:qFormat/>
    <w:pPr>
      <w:spacing w:before="320" w:after="160"/>
      <w:outlineLvl w:val="0"/>
    </w:pPr>
    <w:rPr>
      <w:rFonts w:ascii="Arial" w:cs="Arial" w:eastAsia="Arial" w:hAnsi="Arial"/>
      <w:b/>
      <w:bCs/>
      <w:color w:val="003b5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3b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2026-09-09T13:41:35.908Z</dcterms:created>
  <dcterms:modified xsi:type="dcterms:W3CDTF">2026-09-09T13:41:35.908Z</dcterms:modified>
</cp:coreProperties>
</file>

<file path=docProps/custom.xml><?xml version="1.0" encoding="utf-8"?>
<Properties xmlns="http://schemas.openxmlformats.org/officeDocument/2006/custom-properties" xmlns:vt="http://schemas.openxmlformats.org/officeDocument/2006/docPropsVTypes"/>
</file>