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Varningar och ansvarsfriskrivning i WRC-1992-appen: källgranskning</w:t>
      </w:r>
    </w:p>
    <w:p>
      <w:pPr>
        <w:spacing w:after="320"/>
      </w:pPr>
      <w:r>
        <w:rPr>
          <w:color w:val="555555"/>
          <w:sz w:val="20"/>
          <w:szCs w:val="20"/>
        </w:rPr>
        <w:t xml:space="preserve">Granskningsunderlag för en expert på svetsmetallurgi. Version 2026-09-09; beskriver appen så som den är driftsatt efter att granskarens kommentarer från den 9 september förts in (andra revisionen). App: wrc-1992.vercel.app. Kod: src/lib/warnings.ts.</w:t>
      </w:r>
    </w:p>
    <w:p>
      <w:pPr>
        <w:pStyle w:val="Heading1"/>
      </w:pPr>
      <w:r>
        <w:t xml:space="preserve">1. Syfte och avgränsning</w:t>
      </w:r>
    </w:p>
    <w:p>
      <w:pPr>
        <w:spacing w:after="160" w:line="300"/>
      </w:pPr>
      <w:r>
        <w:t xml:space="preserve">Dokumentet listar samtliga varningstexter och den fasta ansvarsfriskrivningen i webbappen för WRC-1992-diagrammet och redovisar vad varje påstående vilar på. Det följer samma form som granskningen av Schaefflerappen och tillämpar den princip som slogs fast där: varna bara för det originalforskningen själv anger, täck allt annat med ett generellt påstående och hänvisa till primärkällorna.</w:t>
      </w:r>
    </w:p>
    <w:p>
      <w:pPr>
        <w:spacing w:after="160" w:line="300"/>
      </w:pPr>
      <w:r>
        <w:rPr>
          <w:b/>
          <w:bCs/>
        </w:rPr>
        <w:t xml:space="preserve">Upphov och revision.</w:t>
      </w:r>
      <w:r>
        <w:t xml:space="preserve"> Texterna skrevs av Claude (Anthropics AI-assistent) under utvecklingen i juli 2026. Den 6 september 2026 kontrollerades de mot de två primärartiklarna, båda lästa i sin helhet, och reviderades där de avvek. Avsnitt 4 redovisar vad som ändrades och varför. Texterna som citeras nedan är de som nu finns i appen.</w:t>
      </w:r>
    </w:p>
    <w:p>
      <w:pPr>
        <w:spacing w:after="160" w:line="300"/>
      </w:pPr>
      <w:r>
        <w:rPr>
          <w:b/>
          <w:bCs/>
        </w:rPr>
        <w:t xml:space="preserve">Källor.</w:t>
      </w:r>
      <w:r>
        <w:t xml:space="preserve"> WRC-1992-diagrammet (Kotecki &amp; Siewert 1992) är en modifiering av WRC-1988-diagrammet (Siewert, McCowan &amp; Olson 1988); 1992-artikeln tillför koppartermen och de förlängda axlarna men hämtar databas, sammansättningsgränser och noggrannhetssiffror från 1988-artikeln. Båda behandlas därför som primärkällor. Citat återges på engelska i båda versionerna av dokumentet; sidhänvisningar av typen 173-s avser Welding Research Supplement.</w:t>
      </w:r>
    </w:p>
    <w:p>
      <w:pPr>
        <w:pStyle w:val="Heading1"/>
      </w:pPr>
      <w:r>
        <w:t xml:space="preserve">2. Översikt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100"/>
        <w:gridCol w:w="2926"/>
      </w:tblGrid>
      <w:tr>
        <w:trPr>
          <w:tblHeader/>
        </w:trPr>
        <w:tc>
          <w:tcPr>
            <w:tcW w:type="dxa" w:w="700"/>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ID</w:t>
            </w:r>
          </w:p>
        </w:tc>
        <w:tc>
          <w:tcPr>
            <w:tcW w:type="dxa" w:w="3300"/>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Text i appen (exempel)</w:t>
            </w:r>
          </w:p>
        </w:tc>
        <w:tc>
          <w:tcPr>
            <w:tcW w:type="dxa" w:w="2100"/>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Utlöses när</w:t>
            </w:r>
          </w:p>
        </w:tc>
        <w:tc>
          <w:tcPr>
            <w:tcW w:type="dxa" w:w="2926"/>
            <w:tcBorders>
              <w:top w:val="single" w:color="BBBBBB" w:sz="4"/>
              <w:left w:val="single" w:color="BBBBBB" w:sz="4"/>
              <w:bottom w:val="single" w:color="BBBBBB" w:sz="4"/>
              <w:right w:val="single" w:color="BBBBBB" w:sz="4"/>
            </w:tcBorders>
            <w:shd w:fill="E4F1F8" w:val="clear"/>
            <w:tcMar>
              <w:top w:type="dxa" w:w="60"/>
              <w:left w:type="dxa" w:w="100"/>
              <w:bottom w:type="dxa" w:w="60"/>
              <w:right w:type="dxa" w:w="100"/>
            </w:tcMar>
          </w:tcPr>
          <w:p>
            <w:pPr>
              <w:spacing w:after="0" w:line="260"/>
            </w:pPr>
            <w:r>
              <w:rPr>
                <w:b/>
                <w:bCs/>
                <w:sz w:val="18"/>
                <w:szCs w:val="18"/>
              </w:rPr>
              <w:t xml:space="preserve">Status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L</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The prediction is less accurate above 10 % Mn, 3 % Mo, 0.2 % N or 1 % Si (Siewert, McCowan &amp; Olson 1988).</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Fast notis, visas alltid (var en varning per material t.o.m. 9 sept.)</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Verifierat: 1988 slutsatser, ordagranna gränser</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W1</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Unalloyed base metals lie outside the diagram axes. The mixing line remains valid as long as the weld metal point lies on the diagram.</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Något av A, B eller C med Cr</w:t>
            </w:r>
            <w:r>
              <w:rPr>
                <w:b w:val="false"/>
                <w:bCs w:val="false"/>
                <w:sz w:val="18"/>
                <w:szCs w:val="18"/>
                <w:vertAlign w:val="subscript"/>
              </w:rPr>
              <w:t xml:space="preserve">eq</w:t>
            </w:r>
            <w:r>
              <w:rPr>
                <w:b w:val="false"/>
                <w:bCs w:val="false"/>
                <w:sz w:val="18"/>
                <w:szCs w:val="18"/>
              </w:rPr>
              <w:t xml:space="preserve"> utanför 17–31 eller Ni</w:t>
            </w:r>
            <w:r>
              <w:rPr>
                <w:b w:val="false"/>
                <w:bCs w:val="false"/>
                <w:sz w:val="18"/>
                <w:szCs w:val="18"/>
                <w:vertAlign w:val="subscript"/>
              </w:rPr>
              <w:t xml:space="preserve">eq</w:t>
            </w:r>
            <w:r>
              <w:rPr>
                <w:b w:val="false"/>
                <w:bCs w:val="false"/>
                <w:sz w:val="18"/>
                <w:szCs w:val="18"/>
              </w:rPr>
              <w:t xml:space="preserve"> utanför 9–18; visas en gång</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Verifierat: 1992 s. 173-s–174-s (förlängda axlar, blandförband)</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W2</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The weld metal point lies outside the diagram area and no FN prediction is possible.</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Slutlig svetsgodspunkt utanför axlarna</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Geometriskt faktum</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W3</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The weld metal point lies outside the region covered by the iso-FN lines; extending the lines could give erroneous predictions.</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Slutpunkt innanför axlarna men utanför iso-FN-solfjädern</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Verifierat: 1992 fig. 6-text och s. 173-s; 1988 s. 293-s</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W4</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Accuracy of the WRC-1992 prediction (Siewert, McCowan &amp; Olson 1988): below 18 FN, 84 % of predictions fall within ±2.5 FN; above 18 FN, 70 % fall within ±9 FN.</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Fast notis, visas alltid (var en varning över 18 FN t.o.m. 9 sept.)</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Verifierat: 1988 tabell 4</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W5</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One or more intermediate pass points lie outside the diagram area.</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Någon mellanliggande passpunkt utanför axlarna</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Geometriskt faktum</w:t>
            </w:r>
          </w:p>
        </w:tc>
      </w:tr>
      <w:tr>
        <w:tc>
          <w:tcPr>
            <w:tcW w:type="dxa" w:w="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D</w:t>
            </w:r>
          </w:p>
        </w:tc>
        <w:tc>
          <w:tcPr>
            <w:tcW w:type="dxa" w:w="3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WRC-1992 predicts Ferrite Number (FN). The prediction applies to weld metal at arc-welding cooling rates and is only valid inside the drawn iso-FN lines. The prediction is subject to the limitations and assumptions of the original WRC-1992 research.</w:t>
            </w:r>
          </w:p>
        </w:tc>
        <w:tc>
          <w:tcPr>
            <w:tcW w:type="dxa" w:w="21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Visas alltid, följd av de två referenserna</w:t>
            </w:r>
          </w:p>
        </w:tc>
        <w:tc>
          <w:tcPr>
            <w:tcW w:type="dxa" w:w="2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spacing w:after="0" w:line="260"/>
            </w:pPr>
            <w:r>
              <w:rPr>
                <w:b w:val="false"/>
                <w:bCs w:val="false"/>
                <w:sz w:val="18"/>
                <w:szCs w:val="18"/>
              </w:rPr>
              <w:t xml:space="preserve">Verifierat: 1992 s. 171-s; 1988 s. 289-s, 291-s; fig. 6-text</w:t>
            </w:r>
          </w:p>
        </w:tc>
      </w:tr>
    </w:tbl>
    <w:p>
      <w:pPr>
        <w:spacing w:after="120"/>
      </w:pPr>
    </w:p>
    <w:p>
      <w:pPr>
        <w:pStyle w:val="Heading1"/>
      </w:pPr>
      <w:r>
        <w:t xml:space="preserve">3. Påstående för påstående</w:t>
      </w:r>
    </w:p>
    <w:p>
      <w:pPr>
        <w:pStyle w:val="Heading2"/>
      </w:pPr>
      <w:r>
        <w:t xml:space="preserve">L: databasens sammansättningsgränser</w:t>
      </w:r>
    </w:p>
    <w:p>
      <w:pPr>
        <w:spacing w:before="160" w:after="60"/>
      </w:pPr>
      <w:r>
        <w:rPr>
          <w:b/>
          <w:bCs/>
          <w:color w:val="1380a4"/>
          <w:sz w:val="20"/>
          <w:szCs w:val="20"/>
        </w:rPr>
        <w:t xml:space="preserve">Text i appen</w:t>
      </w:r>
    </w:p>
    <w:p>
      <w:pPr>
        <w:pBdr>
          <w:left w:val="single" w:color="1380a4" w:sz="12" w:space="8"/>
        </w:pBdr>
        <w:spacing w:after="120" w:line="280"/>
        <w:ind w:left="567"/>
      </w:pPr>
      <w:r>
        <w:rPr>
          <w:i/>
          <w:iCs/>
          <w:sz w:val="20"/>
          <w:szCs w:val="20"/>
        </w:rPr>
        <w:t xml:space="preserve">“The prediction is less accurate above 10 % Mn, 3 % Mo, 0.2 % N or 1 % Si (Siewert, McCowan &amp; Olson 1988).”</w:t>
      </w:r>
    </w:p>
    <w:p>
      <w:pPr>
        <w:spacing w:before="160" w:after="60"/>
      </w:pPr>
      <w:r>
        <w:rPr>
          <w:b/>
          <w:bCs/>
          <w:color w:val="1380a4"/>
          <w:sz w:val="20"/>
          <w:szCs w:val="20"/>
        </w:rPr>
        <w:t xml:space="preserve">Utlösning</w:t>
      </w:r>
    </w:p>
    <w:p>
      <w:pPr>
        <w:spacing w:after="160" w:line="300"/>
      </w:pPr>
      <w:r>
        <w:t xml:space="preserve">warnings.ts, konstanten DISCLAIMER_NOTES. Visas alltid under ansvarsfriskrivningen; utvärderas inte längre per material. Fram till den 9 september var det en varning som utlöstes för varje material som överskred en gräns, med lydelsen ”the FN prediction is not reliable”; granskaren bad om ”less accurate” och om att gränserna skulle anges som en generell ansvarsfriskrivning med referens.</w:t>
      </w:r>
    </w:p>
    <w:p>
      <w:pPr>
        <w:spacing w:before="160" w:after="60"/>
      </w:pPr>
      <w:r>
        <w:rPr>
          <w:b/>
          <w:bCs/>
          <w:color w:val="1380a4"/>
          <w:sz w:val="20"/>
          <w:szCs w:val="20"/>
        </w:rPr>
        <w:t xml:space="preserve">Underlag</w:t>
      </w:r>
    </w:p>
    <w:p>
      <w:pPr>
        <w:spacing w:after="160" w:line="300"/>
      </w:pPr>
      <w:r>
        <w:t xml:space="preserve">De fyra gränserna anges i 1988-artikelns slutsatser och upprepas i dess sammanfattning. De upprepas inte i 1992-artikeln, som behåller 1988-databasen. Mo-gränsen var 3,5 i appen fram till den 6 september 2026; källan säger 3 och anger skälet.</w:t>
      </w:r>
    </w:p>
    <w:p>
      <w:pPr>
        <w:pBdr>
          <w:left w:val="single" w:color="1380a4" w:sz="12" w:space="8"/>
        </w:pBdr>
        <w:spacing w:after="40" w:line="280"/>
        <w:ind w:left="567"/>
      </w:pPr>
      <w:r>
        <w:rPr>
          <w:i/>
          <w:iCs/>
          <w:sz w:val="20"/>
          <w:szCs w:val="20"/>
        </w:rPr>
        <w:t xml:space="preserve">“The diagram is applicable for Mn contents to 10 wt-%, Mo contents to 3 wt-%, N contents to 0.2 wt-% and Si contents to 1 wt-%.”</w:t>
      </w:r>
    </w:p>
    <w:p>
      <w:pPr>
        <w:spacing w:after="160"/>
        <w:ind w:left="567"/>
      </w:pPr>
      <w:r>
        <w:rPr>
          <w:color w:val="555555"/>
          <w:sz w:val="18"/>
          <w:szCs w:val="18"/>
        </w:rPr>
        <w:t xml:space="preserve">– Siewert, McCowan &amp; Olson 1988, p. 297-s, Conclusion 2</w:t>
      </w:r>
    </w:p>
    <w:p>
      <w:pPr>
        <w:pBdr>
          <w:left w:val="single" w:color="1380a4" w:sz="12" w:space="8"/>
        </w:pBdr>
        <w:spacing w:after="40" w:line="280"/>
        <w:ind w:left="567"/>
      </w:pPr>
      <w:r>
        <w:rPr>
          <w:i/>
          <w:iCs/>
          <w:sz w:val="20"/>
          <w:szCs w:val="20"/>
        </w:rPr>
        <w:t xml:space="preserve">“The restriction of the Mo content to less than 3 wt-% resulted in a 2% improvement in the accuracy of the DeLong diagram, and a 4% improvement in the accuracy of the proposed diagram. This significant improvement in the proposed diagram may be the result of a Cr-Mo interaction that is excluded when Mo levels were limited to 3 wt-% […]”</w:t>
      </w:r>
    </w:p>
    <w:p>
      <w:pPr>
        <w:spacing w:after="160"/>
        <w:ind w:left="567"/>
      </w:pPr>
      <w:r>
        <w:rPr>
          <w:color w:val="555555"/>
          <w:sz w:val="18"/>
          <w:szCs w:val="18"/>
        </w:rPr>
        <w:t xml:space="preserve">– Siewert, McCowan &amp; Olson 1988, p. 294-s</w:t>
      </w:r>
    </w:p>
    <w:p>
      <w:pPr>
        <w:pBdr>
          <w:left w:val="single" w:color="1380a4" w:sz="12" w:space="8"/>
        </w:pBdr>
        <w:spacing w:after="40" w:line="280"/>
        <w:ind w:left="567"/>
      </w:pPr>
      <w:r>
        <w:rPr>
          <w:i/>
          <w:iCs/>
          <w:sz w:val="20"/>
          <w:szCs w:val="20"/>
        </w:rPr>
        <w:t xml:space="preserve">“Scarcity of data at very high element concentration levels does suggest some further restrictions; Mn &lt; 10 wt-% and N &lt; 0.2 wt-%. With these restrictions, the proposed diagram has better than an 88% chance of predicting the FN with an accuracy of ±2.5 FN […]”</w:t>
      </w:r>
    </w:p>
    <w:p>
      <w:pPr>
        <w:spacing w:after="160"/>
        <w:ind w:left="567"/>
      </w:pPr>
      <w:r>
        <w:rPr>
          <w:color w:val="555555"/>
          <w:sz w:val="18"/>
          <w:szCs w:val="18"/>
        </w:rPr>
        <w:t xml:space="preserve">– Siewert, McCowan &amp; Olson 1988, p. 294-s</w:t>
      </w:r>
    </w:p>
    <w:p>
      <w:pPr>
        <w:spacing w:before="160" w:after="60"/>
      </w:pPr>
      <w:r>
        <w:rPr>
          <w:b/>
          <w:bCs/>
          <w:color w:val="1380a4"/>
          <w:sz w:val="20"/>
          <w:szCs w:val="20"/>
        </w:rPr>
        <w:t xml:space="preserve">Bedömning</w:t>
      </w:r>
    </w:p>
    <w:p>
      <w:pPr>
        <w:spacing w:after="160" w:line="300"/>
      </w:pPr>
      <w:r>
        <w:rPr>
          <w:b/>
          <w:bCs/>
        </w:rPr>
        <w:t xml:space="preserve">Verifierat och granskat.</w:t>
      </w:r>
      <w:r>
        <w:t xml:space="preserve"> Gränserna är originalforskningens egna angivna villkor. Granskarens formulering (”less accurate”) stämmer med källan, som kvantifierar en försämrad noggrannhet snarare än en giltighetsgräns. Observera att databasen i sig sträcker sig längre (tabell 1 i 1988-artikeln: Mn 0,4–12, Mo 0–7, N 0,03–0,3, Si 0,1–1,3).</w:t>
      </w:r>
    </w:p>
    <w:p>
      <w:pPr>
        <w:pStyle w:val="Heading2"/>
      </w:pPr>
      <w:r>
        <w:t xml:space="preserve">W1: grundmaterial utanför axlarna</w:t>
      </w:r>
    </w:p>
    <w:p>
      <w:pPr>
        <w:spacing w:before="160" w:after="60"/>
      </w:pPr>
      <w:r>
        <w:rPr>
          <w:b/>
          <w:bCs/>
          <w:color w:val="1380a4"/>
          <w:sz w:val="20"/>
          <w:szCs w:val="20"/>
        </w:rPr>
        <w:t xml:space="preserve">Text i appen</w:t>
      </w:r>
    </w:p>
    <w:p>
      <w:pPr>
        <w:pBdr>
          <w:left w:val="single" w:color="1380a4" w:sz="12" w:space="8"/>
        </w:pBdr>
        <w:spacing w:after="120" w:line="280"/>
        <w:ind w:left="567"/>
      </w:pPr>
      <w:r>
        <w:rPr>
          <w:i/>
          <w:iCs/>
          <w:sz w:val="20"/>
          <w:szCs w:val="20"/>
        </w:rPr>
        <w:t xml:space="preserve">“Unalloyed base metals lie outside the diagram axes. The mixing line remains valid as long as the weld metal point lies on the diagram.”</w:t>
      </w:r>
    </w:p>
    <w:p>
      <w:pPr>
        <w:spacing w:before="160" w:after="60"/>
      </w:pPr>
      <w:r>
        <w:rPr>
          <w:b/>
          <w:bCs/>
          <w:color w:val="1380a4"/>
          <w:sz w:val="20"/>
          <w:szCs w:val="20"/>
        </w:rPr>
        <w:t xml:space="preserve">Utlösning</w:t>
      </w:r>
    </w:p>
    <w:p>
      <w:pPr>
        <w:spacing w:after="160" w:line="300"/>
      </w:pPr>
      <w:r>
        <w:t xml:space="preserve">Visas en gång när något av material A, B eller C har Cr</w:t>
      </w:r>
      <w:r>
        <w:rPr>
          <w:vertAlign w:val="subscript"/>
        </w:rPr>
        <w:t xml:space="preserve">eq</w:t>
      </w:r>
      <w:r>
        <w:t xml:space="preserve"> utanför 17–31 eller Ni</w:t>
      </w:r>
      <w:r>
        <w:rPr>
          <w:vertAlign w:val="subscript"/>
        </w:rPr>
        <w:t xml:space="preserve">eq</w:t>
      </w:r>
      <w:r>
        <w:t xml:space="preserve"> utanför 9–18 (de ritade WRC-1992-axlarna). Utlöses för S355 i varje blandförbandsexempel. Formuleringen är granskarens; fram till den 9 september namngav texten materialet och var längre.</w:t>
      </w:r>
    </w:p>
    <w:p>
      <w:pPr>
        <w:spacing w:before="160" w:after="60"/>
      </w:pPr>
      <w:r>
        <w:rPr>
          <w:b/>
          <w:bCs/>
          <w:color w:val="1380a4"/>
          <w:sz w:val="20"/>
          <w:szCs w:val="20"/>
        </w:rPr>
        <w:t xml:space="preserve">Underlag</w:t>
      </w:r>
    </w:p>
    <w:p>
      <w:pPr>
        <w:spacing w:after="160" w:line="300"/>
      </w:pPr>
      <w:r>
        <w:t xml:space="preserve">1992-artikeln inför de förlängda axlarna just för detta fall och räknar två exempel med olegerade grundmaterial (AISI 1050 och ASTM A36) placerade vid Cr</w:t>
      </w:r>
      <w:r>
        <w:rPr>
          <w:vertAlign w:val="subscript"/>
        </w:rPr>
        <w:t xml:space="preserve">eq</w:t>
      </w:r>
      <w:r>
        <w:t xml:space="preserve"> = 0, för vilka inget FN kan beräknas men vars punkter förankrar utspädningslinjen.</w:t>
      </w:r>
    </w:p>
    <w:p>
      <w:pPr>
        <w:pBdr>
          <w:left w:val="single" w:color="1380a4" w:sz="12" w:space="8"/>
        </w:pBdr>
        <w:spacing w:after="40" w:line="280"/>
        <w:ind w:left="567"/>
      </w:pPr>
      <w:r>
        <w:rPr>
          <w:i/>
          <w:iCs/>
          <w:sz w:val="20"/>
          <w:szCs w:val="20"/>
        </w:rPr>
        <w:t xml:space="preserve">“Although Ferrite Numbers do not exist for weld deposits of low Crₑₖ and Niₑₖ, the positions of such alloys can still be located by extrapolated Crₑₖ and Niₑₖ units on the WRC-1992 diagram. Dilution calculations are based on linear combinations of the compositions, and the extended axes of the diagram allow visualization of the concept.”</w:t>
      </w:r>
    </w:p>
    <w:p>
      <w:pPr>
        <w:spacing w:after="160"/>
        <w:ind w:left="567"/>
      </w:pPr>
      <w:r>
        <w:rPr>
          <w:color w:val="555555"/>
          <w:sz w:val="18"/>
          <w:szCs w:val="18"/>
        </w:rPr>
        <w:t xml:space="preserve">– Kotecki &amp; Siewert 1992, p. 173-s</w:t>
      </w:r>
    </w:p>
    <w:p>
      <w:pPr>
        <w:pBdr>
          <w:left w:val="single" w:color="1380a4" w:sz="12" w:space="8"/>
        </w:pBdr>
        <w:spacing w:after="40" w:line="280"/>
        <w:ind w:left="567"/>
      </w:pPr>
      <w:r>
        <w:rPr>
          <w:i/>
          <w:iCs/>
          <w:sz w:val="20"/>
          <w:szCs w:val="20"/>
        </w:rPr>
        <w:t xml:space="preserve">“The Crₑₖ and Niₑₖ for the AISI 1050 steel (0.0 and 17.50, respectively) do not permit an FN calculation for this material.”</w:t>
      </w:r>
    </w:p>
    <w:p>
      <w:pPr>
        <w:spacing w:after="160"/>
        <w:ind w:left="567"/>
      </w:pPr>
      <w:r>
        <w:rPr>
          <w:color w:val="555555"/>
          <w:sz w:val="18"/>
          <w:szCs w:val="18"/>
        </w:rPr>
        <w:t xml:space="preserve">– Kotecki &amp; Siewert 1992, p. 173-s</w:t>
      </w:r>
    </w:p>
    <w:p>
      <w:pPr>
        <w:spacing w:before="160" w:after="60"/>
      </w:pPr>
      <w:r>
        <w:rPr>
          <w:b/>
          <w:bCs/>
          <w:color w:val="1380a4"/>
          <w:sz w:val="20"/>
          <w:szCs w:val="20"/>
        </w:rPr>
        <w:t xml:space="preserve">Bedömning</w:t>
      </w:r>
    </w:p>
    <w:p>
      <w:pPr>
        <w:spacing w:after="160" w:line="300"/>
      </w:pPr>
      <w:r>
        <w:rPr>
          <w:b/>
          <w:bCs/>
        </w:rPr>
        <w:t xml:space="preserve">Verifierat och granskat.</w:t>
      </w:r>
      <w:r>
        <w:t xml:space="preserve"> Granskaren instämde i att en kortare formulering är att föredra och gav den mening som nu används.</w:t>
      </w:r>
    </w:p>
    <w:p>
      <w:pPr>
        <w:pStyle w:val="Heading2"/>
      </w:pPr>
      <w:r>
        <w:t xml:space="preserve">W2 och W5: svetsgods- eller passpunkt utanför axlarna</w:t>
      </w:r>
    </w:p>
    <w:p>
      <w:pPr>
        <w:spacing w:before="160" w:after="60"/>
      </w:pPr>
      <w:r>
        <w:rPr>
          <w:b/>
          <w:bCs/>
          <w:color w:val="1380a4"/>
          <w:sz w:val="20"/>
          <w:szCs w:val="20"/>
        </w:rPr>
        <w:t xml:space="preserve">Text i appen</w:t>
      </w:r>
    </w:p>
    <w:p>
      <w:pPr>
        <w:pBdr>
          <w:left w:val="single" w:color="1380a4" w:sz="12" w:space="8"/>
        </w:pBdr>
        <w:spacing w:after="120" w:line="280"/>
        <w:ind w:left="567"/>
      </w:pPr>
      <w:r>
        <w:rPr>
          <w:i/>
          <w:iCs/>
          <w:sz w:val="20"/>
          <w:szCs w:val="20"/>
        </w:rPr>
        <w:t xml:space="preserve">“The weld metal point lies outside the diagram area and no FN prediction is possible.”</w:t>
      </w:r>
    </w:p>
    <w:p>
      <w:pPr>
        <w:pBdr>
          <w:left w:val="single" w:color="1380a4" w:sz="12" w:space="8"/>
        </w:pBdr>
        <w:spacing w:after="120" w:line="280"/>
        <w:ind w:left="567"/>
      </w:pPr>
      <w:r>
        <w:rPr>
          <w:i/>
          <w:iCs/>
          <w:sz w:val="20"/>
          <w:szCs w:val="20"/>
        </w:rPr>
        <w:t xml:space="preserve">“One or more intermediate pass points lie outside the diagram area.”</w:t>
      </w:r>
    </w:p>
    <w:p>
      <w:pPr>
        <w:spacing w:before="160" w:after="60"/>
      </w:pPr>
      <w:r>
        <w:rPr>
          <w:b/>
          <w:bCs/>
          <w:color w:val="1380a4"/>
          <w:sz w:val="20"/>
          <w:szCs w:val="20"/>
        </w:rPr>
        <w:t xml:space="preserve">Underlag och bedömning</w:t>
      </w:r>
    </w:p>
    <w:p>
      <w:pPr>
        <w:spacing w:after="160" w:line="300"/>
      </w:pPr>
      <w:r>
        <w:t xml:space="preserve">Geometriska fakta om den ritade ytan; inget källpåstående görs. Formuleringen följer den som beslutades för Schaefflerappen (”prediction is not possible”).</w:t>
      </w:r>
    </w:p>
    <w:p>
      <w:pPr>
        <w:pStyle w:val="Heading2"/>
      </w:pPr>
      <w:r>
        <w:t xml:space="preserve">W3: svetsgods utanför iso-FN-linjerna; martensit</w:t>
      </w:r>
    </w:p>
    <w:p>
      <w:pPr>
        <w:spacing w:before="160" w:after="60"/>
      </w:pPr>
      <w:r>
        <w:rPr>
          <w:b/>
          <w:bCs/>
          <w:color w:val="1380a4"/>
          <w:sz w:val="20"/>
          <w:szCs w:val="20"/>
        </w:rPr>
        <w:t xml:space="preserve">Text i appen</w:t>
      </w:r>
    </w:p>
    <w:p>
      <w:pPr>
        <w:pBdr>
          <w:left w:val="single" w:color="1380a4" w:sz="12" w:space="8"/>
        </w:pBdr>
        <w:spacing w:after="120" w:line="280"/>
        <w:ind w:left="567"/>
      </w:pPr>
      <w:r>
        <w:rPr>
          <w:i/>
          <w:iCs/>
          <w:sz w:val="20"/>
          <w:szCs w:val="20"/>
        </w:rPr>
        <w:t xml:space="preserve">“The weld metal point lies outside the region covered by the iso-FN lines; extending the lines could give erroneous predictions.”</w:t>
      </w:r>
    </w:p>
    <w:p>
      <w:pPr>
        <w:spacing w:before="160" w:after="60"/>
      </w:pPr>
      <w:r>
        <w:rPr>
          <w:b/>
          <w:bCs/>
          <w:color w:val="1380a4"/>
          <w:sz w:val="20"/>
          <w:szCs w:val="20"/>
        </w:rPr>
        <w:t xml:space="preserve">Utlösning</w:t>
      </w:r>
    </w:p>
    <w:p>
      <w:pPr>
        <w:spacing w:after="160" w:line="300"/>
      </w:pPr>
      <w:r>
        <w:t xml:space="preserve">Den slutliga svetsgodspunkten ligger innanför axlarna, men FN-interpolationen ger inget värde, det vill säga punkten ligger utanför solfjädern av iso-FN-linjer (typiskt nedanför och till vänster om den).</w:t>
      </w:r>
    </w:p>
    <w:p>
      <w:pPr>
        <w:spacing w:before="160" w:after="60"/>
      </w:pPr>
      <w:r>
        <w:rPr>
          <w:b/>
          <w:bCs/>
          <w:color w:val="1380a4"/>
          <w:sz w:val="20"/>
          <w:szCs w:val="20"/>
        </w:rPr>
        <w:t xml:space="preserve">Underlag</w:t>
      </w:r>
    </w:p>
    <w:p>
      <w:pPr>
        <w:spacing w:after="160" w:line="300"/>
      </w:pPr>
      <w:r>
        <w:t xml:space="preserve">Meningen kommer från figurtexten till fig. 6 i 1992-artikeln. Två tidigare inslag har tagits bort: en separat ”martensitrisk”-varning som utlöstes av ett fast hörn inne i diagrammet (borttagen 6 september; saknade stöd i källorna), och en andra mening i den här varningen om martensit under de nedre FN-linjerna (borttagen 9 september på granskarens begäran: ingen hänvisning till martensit eller andra diagram).</w:t>
      </w:r>
    </w:p>
    <w:p>
      <w:pPr>
        <w:pBdr>
          <w:left w:val="single" w:color="1380a4" w:sz="12" w:space="8"/>
        </w:pBdr>
        <w:spacing w:after="40" w:line="280"/>
        <w:ind w:left="567"/>
      </w:pPr>
      <w:r>
        <w:rPr>
          <w:i/>
          <w:iCs/>
          <w:sz w:val="20"/>
          <w:szCs w:val="20"/>
        </w:rPr>
        <w:t xml:space="preserve">“The FN prediction is only accurate for weld compositions that fall within the bounds of the iso-FN lines (0 to 100 FN) that are drawn on the diagram. The limits of the diagram were determined by the extent of the database, and extension of the lines could result in erroneous predictions.”</w:t>
      </w:r>
    </w:p>
    <w:p>
      <w:pPr>
        <w:spacing w:after="160"/>
        <w:ind w:left="567"/>
      </w:pPr>
      <w:r>
        <w:rPr>
          <w:color w:val="555555"/>
          <w:sz w:val="18"/>
          <w:szCs w:val="18"/>
        </w:rPr>
        <w:t xml:space="preserve">– Kotecki &amp; Siewert 1992, Fig. 6 caption</w:t>
      </w:r>
    </w:p>
    <w:p>
      <w:pPr>
        <w:pBdr>
          <w:left w:val="single" w:color="1380a4" w:sz="12" w:space="8"/>
        </w:pBdr>
        <w:spacing w:after="40" w:line="280"/>
        <w:ind w:left="567"/>
      </w:pPr>
      <w:r>
        <w:rPr>
          <w:i/>
          <w:iCs/>
          <w:sz w:val="20"/>
          <w:szCs w:val="20"/>
        </w:rPr>
        <w:t xml:space="preserve">“For some Crₑₖ and Niₑₖ values beyond the lower limits of the FN lines in the WRC-1992 diagram, martensite may be found in the weld metals. […] Because of the differing effects of Mn in the two temperature ranges, it is not possible to include a single line bounding martensite-containing weld metals on the WRC-1992 diagram.”</w:t>
      </w:r>
    </w:p>
    <w:p>
      <w:pPr>
        <w:spacing w:after="160"/>
        <w:ind w:left="567"/>
      </w:pPr>
      <w:r>
        <w:rPr>
          <w:color w:val="555555"/>
          <w:sz w:val="18"/>
          <w:szCs w:val="18"/>
        </w:rPr>
        <w:t xml:space="preserve">– Kotecki &amp; Siewert 1992, p. 173-s</w:t>
      </w:r>
    </w:p>
    <w:p>
      <w:pPr>
        <w:pBdr>
          <w:left w:val="single" w:color="1380a4" w:sz="12" w:space="8"/>
        </w:pBdr>
        <w:spacing w:after="40" w:line="280"/>
        <w:ind w:left="567"/>
      </w:pPr>
      <w:r>
        <w:rPr>
          <w:i/>
          <w:iCs/>
          <w:sz w:val="20"/>
          <w:szCs w:val="20"/>
        </w:rPr>
        <w:t xml:space="preserve">“Therefore, a line denoting the region where martensite and austenite could coexist was not included. Examination of the lower-left region of the map does not reveal a change in line slope and so the effect of martensite seems small for the commercially useful data we studied.”</w:t>
      </w:r>
    </w:p>
    <w:p>
      <w:pPr>
        <w:spacing w:after="160"/>
        <w:ind w:left="567"/>
      </w:pPr>
      <w:r>
        <w:rPr>
          <w:color w:val="555555"/>
          <w:sz w:val="18"/>
          <w:szCs w:val="18"/>
        </w:rPr>
        <w:t xml:space="preserve">– Siewert, McCowan &amp; Olson 1988, p. 293-s</w:t>
      </w:r>
    </w:p>
    <w:p>
      <w:pPr>
        <w:spacing w:before="160" w:after="60"/>
      </w:pPr>
      <w:r>
        <w:rPr>
          <w:b/>
          <w:bCs/>
          <w:color w:val="1380a4"/>
          <w:sz w:val="20"/>
          <w:szCs w:val="20"/>
        </w:rPr>
        <w:t xml:space="preserve">Bedömning</w:t>
      </w:r>
    </w:p>
    <w:p>
      <w:pPr>
        <w:spacing w:after="160" w:line="300"/>
      </w:pPr>
      <w:r>
        <w:rPr>
          <w:b/>
          <w:bCs/>
        </w:rPr>
        <w:t xml:space="preserve">Verifierat och granskat.</w:t>
      </w:r>
      <w:r>
        <w:t xml:space="preserve"> Granskaren uteslöt varje hänvisning till martensit eller andra diagram i appen; martensitcitaten ovan står kvar här enbart som bakgrund.</w:t>
      </w:r>
    </w:p>
    <w:p>
      <w:pPr>
        <w:pStyle w:val="Heading2"/>
      </w:pPr>
      <w:r>
        <w:t xml:space="preserve">W4: noggrannhet över 18 FN</w:t>
      </w:r>
    </w:p>
    <w:p>
      <w:pPr>
        <w:spacing w:before="160" w:after="60"/>
      </w:pPr>
      <w:r>
        <w:rPr>
          <w:b/>
          <w:bCs/>
          <w:color w:val="1380a4"/>
          <w:sz w:val="20"/>
          <w:szCs w:val="20"/>
        </w:rPr>
        <w:t xml:space="preserve">Text i appen</w:t>
      </w:r>
    </w:p>
    <w:p>
      <w:pPr>
        <w:pBdr>
          <w:left w:val="single" w:color="1380a4" w:sz="12" w:space="8"/>
        </w:pBdr>
        <w:spacing w:after="120" w:line="280"/>
        <w:ind w:left="567"/>
      </w:pPr>
      <w:r>
        <w:rPr>
          <w:i/>
          <w:iCs/>
          <w:sz w:val="20"/>
          <w:szCs w:val="20"/>
        </w:rPr>
        <w:t xml:space="preserve">“Accuracy of the WRC-1992 prediction (Siewert, McCowan &amp; Olson 1988): below 18 FN, 84 % of predictions fall within ±2.5 FN; above 18 FN, 70 % fall within ±9 FN.”</w:t>
      </w:r>
    </w:p>
    <w:p>
      <w:pPr>
        <w:spacing w:before="160" w:after="60"/>
      </w:pPr>
      <w:r>
        <w:rPr>
          <w:b/>
          <w:bCs/>
          <w:color w:val="1380a4"/>
          <w:sz w:val="20"/>
          <w:szCs w:val="20"/>
        </w:rPr>
        <w:t xml:space="preserve">Utlösning</w:t>
      </w:r>
    </w:p>
    <w:p>
      <w:pPr>
        <w:spacing w:after="160" w:line="300"/>
      </w:pPr>
      <w:r>
        <w:t xml:space="preserve">Fast notis i DISCLAIMER_NOTES, visas alltid. Fram till den 6 september var det en varning över 50 FN (en siffra som inte finns i någon av artiklarna), därefter en varning över 18 FN; den 9 september bad granskaren om en generell, alltid synlig text med båda noggrannhetssiffrorna och referensen.</w:t>
      </w:r>
    </w:p>
    <w:p>
      <w:pPr>
        <w:spacing w:before="160" w:after="60"/>
      </w:pPr>
      <w:r>
        <w:rPr>
          <w:b/>
          <w:bCs/>
          <w:color w:val="1380a4"/>
          <w:sz w:val="20"/>
          <w:szCs w:val="20"/>
        </w:rPr>
        <w:t xml:space="preserve">Underlag</w:t>
      </w:r>
    </w:p>
    <w:p>
      <w:pPr>
        <w:spacing w:after="160" w:line="300"/>
      </w:pPr>
      <w:r>
        <w:t xml:space="preserve">Tabell 4 i 1988-artikeln delar databasen vid 18 FN och redovisar andelen prediktioner inom en tolerans: under 18 FN 84 % inom ±2,5 FN; över 18 FN 70 % inom ±9 FN. Tröskeln och båda toleranserna i apptexten är hämtade ur den tabellen. 1992-artikelns egna duplexdata (tabell 1, 30–100 FN) visar ett standardfel på ungefär 8 FN, vilket stämmer med detta.</w:t>
      </w:r>
    </w:p>
    <w:p>
      <w:pPr>
        <w:pBdr>
          <w:left w:val="single" w:color="1380a4" w:sz="12" w:space="8"/>
        </w:pBdr>
        <w:spacing w:after="40" w:line="280"/>
        <w:ind w:left="567"/>
      </w:pPr>
      <w:r>
        <w:rPr>
          <w:i/>
          <w:iCs/>
          <w:sz w:val="20"/>
          <w:szCs w:val="20"/>
        </w:rPr>
        <w:t xml:space="preserve">“Table 4 — Comparison of the Accuracy of the Schaeffler Diagram and the Proposed Diagram. FN &gt; 18: error less than ± 9 FN — Schaeffler 35 %, Proposed 70 % (124 / 125 cases). FN &lt; 18: error less than ± 2.5 FN — Schaeffler 52 %, Proposed 84 % (771 / 740 cases).”</w:t>
      </w:r>
    </w:p>
    <w:p>
      <w:pPr>
        <w:spacing w:after="160"/>
        <w:ind w:left="567"/>
      </w:pPr>
      <w:r>
        <w:rPr>
          <w:color w:val="555555"/>
          <w:sz w:val="18"/>
          <w:szCs w:val="18"/>
        </w:rPr>
        <w:t xml:space="preserve">– Siewert, McCowan &amp; Olson 1988, p. 296-s (table transcribed)</w:t>
      </w:r>
    </w:p>
    <w:p>
      <w:pPr>
        <w:spacing w:before="160" w:after="60"/>
      </w:pPr>
      <w:r>
        <w:rPr>
          <w:b/>
          <w:bCs/>
          <w:color w:val="1380a4"/>
          <w:sz w:val="20"/>
          <w:szCs w:val="20"/>
        </w:rPr>
        <w:t xml:space="preserve">Bedömning</w:t>
      </w:r>
    </w:p>
    <w:p>
      <w:pPr>
        <w:spacing w:after="160" w:line="300"/>
      </w:pPr>
      <w:r>
        <w:rPr>
          <w:b/>
          <w:bCs/>
        </w:rPr>
        <w:t xml:space="preserve">Verifierat och granskat.</w:t>
      </w:r>
      <w:r>
        <w:t xml:space="preserve"> Notisen anger nu båda procentsatserna och båda toleranserna exakt som i tabell 4.</w:t>
      </w:r>
    </w:p>
    <w:p>
      <w:pPr>
        <w:pStyle w:val="Heading2"/>
      </w:pPr>
      <w:r>
        <w:t xml:space="preserve">D: den fasta ansvarsfriskrivningen och referenserna</w:t>
      </w:r>
    </w:p>
    <w:p>
      <w:pPr>
        <w:spacing w:before="160" w:after="60"/>
      </w:pPr>
      <w:r>
        <w:rPr>
          <w:b/>
          <w:bCs/>
          <w:color w:val="1380a4"/>
          <w:sz w:val="20"/>
          <w:szCs w:val="20"/>
        </w:rPr>
        <w:t xml:space="preserve">Text i appen</w:t>
      </w:r>
    </w:p>
    <w:p>
      <w:pPr>
        <w:pBdr>
          <w:left w:val="single" w:color="1380a4" w:sz="12" w:space="8"/>
        </w:pBdr>
        <w:spacing w:after="120" w:line="280"/>
        <w:ind w:left="567"/>
      </w:pPr>
      <w:r>
        <w:rPr>
          <w:i/>
          <w:iCs/>
          <w:sz w:val="20"/>
          <w:szCs w:val="20"/>
        </w:rPr>
        <w:t xml:space="preserve">“WRC-1992 predicts Ferrite Number (FN). The prediction applies to weld metal at arc-welding cooling rates and is only valid inside the drawn iso-FN lines. The prediction is subject to the limitations and assumptions of the original WRC-1992 research.”</w:t>
      </w:r>
    </w:p>
    <w:p>
      <w:pPr>
        <w:pBdr>
          <w:left w:val="single" w:color="1380a4" w:sz="12" w:space="8"/>
        </w:pBdr>
        <w:spacing w:after="120" w:line="280"/>
        <w:ind w:left="567"/>
      </w:pPr>
      <w:r>
        <w:rPr>
          <w:i/>
          <w:iCs/>
          <w:sz w:val="20"/>
          <w:szCs w:val="20"/>
        </w:rPr>
        <w:t xml:space="preserve">“Kotecki, D. J. &amp; Siewert, T. A. (1992). WRC-1992 constitution diagram for stainless steel weld metals: a modification of the WRC-1988 diagram. Welding Journal 71(5), 171-s–178-s.”</w:t>
      </w:r>
    </w:p>
    <w:p>
      <w:pPr>
        <w:pBdr>
          <w:left w:val="single" w:color="1380a4" w:sz="12" w:space="8"/>
        </w:pBdr>
        <w:spacing w:after="120" w:line="280"/>
        <w:ind w:left="567"/>
      </w:pPr>
      <w:r>
        <w:rPr>
          <w:i/>
          <w:iCs/>
          <w:sz w:val="20"/>
          <w:szCs w:val="20"/>
        </w:rPr>
        <w:t xml:space="preserve">“Siewert, T. A., McCowan, C. N. &amp; Olson, D. L. (1988). Ferrite Number prediction to 100 FN in stainless steel weld metal. Welding Journal 67(12), 289-s–298-s.”</w:t>
      </w:r>
    </w:p>
    <w:p>
      <w:pPr>
        <w:spacing w:before="160" w:after="60"/>
      </w:pPr>
      <w:r>
        <w:rPr>
          <w:b/>
          <w:bCs/>
          <w:color w:val="1380a4"/>
          <w:sz w:val="20"/>
          <w:szCs w:val="20"/>
        </w:rPr>
        <w:t xml:space="preserve">Underlag</w:t>
      </w:r>
    </w:p>
    <w:p>
      <w:pPr>
        <w:spacing w:after="160" w:line="300"/>
      </w:pPr>
      <w:r>
        <w:t xml:space="preserve">Formuleringen är granskarens (9 september). Två påståenden kvarstår: bågsvetsningens svalningshastigheter (1988-databasen togs nästan helt fram med belagda elektroder enligt AWS A5.4, och artikeln utvärderar uttryckligen inte andra förhållanden) och giltighet innanför de ritade linjerna (fig. 6-texten citerad under W3). Den tidigare förklaringen av FN kontra volymprocent ferrit ströks på granskarens begäran.</w:t>
      </w:r>
    </w:p>
    <w:p>
      <w:pPr>
        <w:pBdr>
          <w:left w:val="single" w:color="1380a4" w:sz="12" w:space="8"/>
        </w:pBdr>
        <w:spacing w:after="40" w:line="280"/>
        <w:ind w:left="567"/>
      </w:pPr>
      <w:r>
        <w:rPr>
          <w:i/>
          <w:iCs/>
          <w:sz w:val="20"/>
          <w:szCs w:val="20"/>
        </w:rPr>
        <w:t xml:space="preserve">“In fact, the great majority of data were produced with shielded metal arc electrodes conforming to AWS Specification A5.4. […] The equation was not evaluated for welds produced under conditions outside those specified in A5.4.”</w:t>
      </w:r>
    </w:p>
    <w:p>
      <w:pPr>
        <w:spacing w:after="160"/>
        <w:ind w:left="567"/>
      </w:pPr>
      <w:r>
        <w:rPr>
          <w:color w:val="555555"/>
          <w:sz w:val="18"/>
          <w:szCs w:val="18"/>
        </w:rPr>
        <w:t xml:space="preserve">– Siewert, McCowan &amp; Olson 1988, p. 291-s</w:t>
      </w:r>
    </w:p>
    <w:p>
      <w:pPr>
        <w:spacing w:before="160" w:after="60"/>
      </w:pPr>
      <w:r>
        <w:rPr>
          <w:b/>
          <w:bCs/>
          <w:color w:val="1380a4"/>
          <w:sz w:val="20"/>
          <w:szCs w:val="20"/>
        </w:rPr>
        <w:t xml:space="preserve">Bedömning</w:t>
      </w:r>
    </w:p>
    <w:p>
      <w:pPr>
        <w:spacing w:after="160" w:line="300"/>
      </w:pPr>
      <w:r>
        <w:rPr>
          <w:b/>
          <w:bCs/>
        </w:rPr>
        <w:t xml:space="preserve">Verifierat och granskat.</w:t>
      </w:r>
      <w:r>
        <w:t xml:space="preserve"> Ansvarsfriskrivningen är nu granskarens text, följd av de två fasta notiserna (L och W4) och de två referenserna.</w:t>
      </w:r>
    </w:p>
    <w:p>
      <w:pPr>
        <w:pStyle w:val="Heading1"/>
      </w:pPr>
      <w:r>
        <w:t xml:space="preserve">4. Gjorda ändringar</w:t>
      </w:r>
    </w:p>
    <w:p>
      <w:pPr>
        <w:pStyle w:val="Heading2"/>
      </w:pPr>
      <w:r>
        <w:t xml:space="preserve">4.1 Andra revisionen, 9 september 2026 (granskarens kommentarer)</w:t>
      </w:r>
    </w:p>
    <w:p>
      <w:pPr>
        <w:pStyle w:val="ListParagraph"/>
        <w:numPr>
          <w:ilvl w:val="0"/>
          <w:numId w:val="2"/>
        </w:numPr>
        <w:spacing w:after="100" w:line="280"/>
      </w:pPr>
      <w:r>
        <w:rPr>
          <w:b/>
          <w:bCs/>
        </w:rPr>
        <w:t xml:space="preserve">Varningarna för sammansättningsgränser ersatta av en fast notis</w:t>
      </w:r>
      <w:r>
        <w:t xml:space="preserve"> med lydelsen ”less accurate” och 1988-referensen.</w:t>
      </w:r>
    </w:p>
    <w:p>
      <w:pPr>
        <w:pStyle w:val="ListParagraph"/>
        <w:numPr>
          <w:ilvl w:val="0"/>
          <w:numId w:val="2"/>
        </w:numPr>
        <w:spacing w:after="100" w:line="280"/>
      </w:pPr>
      <w:r>
        <w:rPr>
          <w:b/>
          <w:bCs/>
        </w:rPr>
        <w:t xml:space="preserve">W1 kortad till granskarens mening</w:t>
      </w:r>
      <w:r>
        <w:t xml:space="preserve">, visas en gång utan materialnamn.</w:t>
      </w:r>
    </w:p>
    <w:p>
      <w:pPr>
        <w:pStyle w:val="ListParagraph"/>
        <w:numPr>
          <w:ilvl w:val="0"/>
          <w:numId w:val="2"/>
        </w:numPr>
        <w:spacing w:after="100" w:line="280"/>
      </w:pPr>
      <w:r>
        <w:rPr>
          <w:b/>
          <w:bCs/>
        </w:rPr>
        <w:t xml:space="preserve">W3: martensitmeningen borttagen</w:t>
      </w:r>
      <w:r>
        <w:t xml:space="preserve">; ingen hänvisning till martensit eller andra diagram någonstans i appen.</w:t>
      </w:r>
    </w:p>
    <w:p>
      <w:pPr>
        <w:pStyle w:val="ListParagraph"/>
        <w:numPr>
          <w:ilvl w:val="0"/>
          <w:numId w:val="2"/>
        </w:numPr>
        <w:spacing w:after="100" w:line="280"/>
      </w:pPr>
      <w:r>
        <w:rPr>
          <w:b/>
          <w:bCs/>
        </w:rPr>
        <w:t xml:space="preserve">FN-varningen ersatt av en fast noggrannhetsnotis</w:t>
      </w:r>
      <w:r>
        <w:t xml:space="preserve"> (84 % inom ±2,5 FN under 18 FN; 70 % inom ±9 FN över) med 1988-referensen.</w:t>
      </w:r>
    </w:p>
    <w:p>
      <w:pPr>
        <w:pStyle w:val="ListParagraph"/>
        <w:numPr>
          <w:ilvl w:val="0"/>
          <w:numId w:val="2"/>
        </w:numPr>
        <w:spacing w:after="100" w:line="280"/>
      </w:pPr>
      <w:r>
        <w:rPr>
          <w:b/>
          <w:bCs/>
        </w:rPr>
        <w:t xml:space="preserve">Ansvarsfriskrivningen ersatt av granskarens text</w:t>
      </w:r>
      <w:r>
        <w:t xml:space="preserve">; förklaringen av FN kontra volymprocent struken.</w:t>
      </w:r>
    </w:p>
    <w:p>
      <w:pPr>
        <w:pStyle w:val="Heading2"/>
      </w:pPr>
      <w:r>
        <w:t xml:space="preserve">4.2 Första revisionen, 6 september 2026 (källkontroll)</w:t>
      </w:r>
    </w:p>
    <w:p>
      <w:pPr>
        <w:spacing w:after="160" w:line="300"/>
      </w:pPr>
      <w:r>
        <w:t xml:space="preserve">Läget före den första revisionen och skälet till varje ändring:</w:t>
      </w:r>
    </w:p>
    <w:p>
      <w:pPr>
        <w:pStyle w:val="ListParagraph"/>
        <w:numPr>
          <w:ilvl w:val="0"/>
          <w:numId w:val="2"/>
        </w:numPr>
        <w:spacing w:after="100" w:line="280"/>
      </w:pPr>
      <w:r>
        <w:rPr>
          <w:b/>
          <w:bCs/>
        </w:rPr>
        <w:t xml:space="preserve">Mo-gräns 3,5 → 3 vikt-%.</w:t>
      </w:r>
      <w:r>
        <w:t xml:space="preserve"> Koden och dess kommentar var oense (3,5 mot 3); 1988-slutsatserna säger 3.</w:t>
      </w:r>
    </w:p>
    <w:p>
      <w:pPr>
        <w:pStyle w:val="ListParagraph"/>
        <w:numPr>
          <w:ilvl w:val="0"/>
          <w:numId w:val="2"/>
        </w:numPr>
        <w:spacing w:after="100" w:line="280"/>
      </w:pPr>
      <w:r>
        <w:rPr>
          <w:b/>
          <w:bCs/>
        </w:rPr>
        <w:t xml:space="preserve">FN-notis: tröskel 50 → 18, formulering ”less accurate” → ”±2,5 FN till ±9 FN”.</w:t>
      </w:r>
      <w:r>
        <w:t xml:space="preserve"> Siffran 50 saknade källa; tabell 4 i 1988-artikeln ger 18 och toleranserna.</w:t>
      </w:r>
    </w:p>
    <w:p>
      <w:pPr>
        <w:pStyle w:val="ListParagraph"/>
        <w:numPr>
          <w:ilvl w:val="0"/>
          <w:numId w:val="2"/>
        </w:numPr>
        <w:spacing w:after="100" w:line="280"/>
      </w:pPr>
      <w:r>
        <w:rPr>
          <w:b/>
          <w:bCs/>
        </w:rPr>
        <w:t xml:space="preserve">Separat ”martensitrisk”-varning borttagen.</w:t>
      </w:r>
      <w:r>
        <w:t xml:space="preserve"> Dess trigger, ett fast hörn inne i diagrammet, var appens egen konstruktion. Martensitanmärkningen följer nu med W3, där källorna placerar den.</w:t>
      </w:r>
    </w:p>
    <w:p>
      <w:pPr>
        <w:pStyle w:val="ListParagraph"/>
        <w:numPr>
          <w:ilvl w:val="0"/>
          <w:numId w:val="2"/>
        </w:numPr>
        <w:spacing w:after="100" w:line="280"/>
      </w:pPr>
      <w:r>
        <w:rPr>
          <w:b/>
          <w:bCs/>
        </w:rPr>
        <w:t xml:space="preserve">Ansvarsfriskrivning: ”duplex weld metals at FN ≈ 50 hold roughly 0.7 × FN vol-%” → ”100 FN corresponds to roughly 65 vol-% ferrite”.</w:t>
      </w:r>
      <w:r>
        <w:t xml:space="preserve"> Faktorn 0,7 kommer från senare arbeten som inte lästs för den här granskningen; siffran 65 vol-% finns i 1988-artikeln. Meningen ”Unlike Schaeffler, the model includes nitrogen and copper” ströks som onödig.</w:t>
      </w:r>
    </w:p>
    <w:p>
      <w:pPr>
        <w:pStyle w:val="ListParagraph"/>
        <w:numPr>
          <w:ilvl w:val="0"/>
          <w:numId w:val="2"/>
        </w:numPr>
        <w:spacing w:after="100" w:line="280"/>
      </w:pPr>
      <w:r>
        <w:rPr>
          <w:b/>
          <w:bCs/>
        </w:rPr>
        <w:t xml:space="preserve">Generellt begränsningspåstående och två referenser tillagda</w:t>
      </w:r>
      <w:r>
        <w:t xml:space="preserve">, som i Schaefflerappen.</w:t>
      </w:r>
    </w:p>
    <w:p>
      <w:pPr>
        <w:pStyle w:val="ListParagraph"/>
        <w:numPr>
          <w:ilvl w:val="0"/>
          <w:numId w:val="2"/>
        </w:numPr>
        <w:spacing w:after="100" w:line="280"/>
      </w:pPr>
      <w:r>
        <w:rPr>
          <w:b/>
          <w:bCs/>
        </w:rPr>
        <w:t xml:space="preserve">Alla varningstexter kortade</w:t>
      </w:r>
      <w:r>
        <w:t xml:space="preserve">; utanför-axlarna-texten för svetsgods lyder nu ”prediction is not possible”, som beslutat för Schaefflerappen.</w:t>
      </w:r>
    </w:p>
    <w:p>
      <w:pPr>
        <w:pStyle w:val="Heading1"/>
      </w:pPr>
      <w:r>
        <w:t xml:space="preserve">5. Granskningsläge</w:t>
      </w:r>
    </w:p>
    <w:p>
      <w:pPr>
        <w:spacing w:after="160" w:line="300"/>
      </w:pPr>
      <w:r>
        <w:t xml:space="preserve">Alla frågor i versionen från den 6 september besvarades av granskaren den 9 september och fördes in enligt avsnitt 4.1. En punkt kommenterades inte och kvarstår för en senare omgång:</w:t>
      </w:r>
    </w:p>
    <w:p>
      <w:pPr>
        <w:pStyle w:val="ListParagraph"/>
        <w:numPr>
          <w:ilvl w:val="0"/>
          <w:numId w:val="2"/>
        </w:numPr>
        <w:spacing w:after="100" w:line="280"/>
      </w:pPr>
      <w:r>
        <w:t xml:space="preserve">Om AF/FA-gränsen för stelningsmod ska presenteras som varmsprickindikator (1988, s. 296-s).</w:t>
      </w:r>
    </w:p>
    <w:p>
      <w:pPr>
        <w:pStyle w:val="Heading1"/>
      </w:pPr>
      <w:r>
        <w:t xml:space="preserve">6. Källor</w:t>
      </w:r>
    </w:p>
    <w:p>
      <w:pPr>
        <w:spacing w:after="160" w:line="300"/>
      </w:pPr>
      <w:r>
        <w:rPr>
          <w:b/>
          <w:bCs/>
        </w:rPr>
        <w:t xml:space="preserve">Lästa i sin helhet för den här granskningen</w:t>
      </w:r>
      <w:r>
        <w:t xml:space="preserve"> (filer i projektets källor-mapp):</w:t>
      </w:r>
    </w:p>
    <w:p>
      <w:pPr>
        <w:pStyle w:val="ListParagraph"/>
        <w:numPr>
          <w:ilvl w:val="0"/>
          <w:numId w:val="2"/>
        </w:numPr>
        <w:spacing w:after="100" w:line="280"/>
      </w:pPr>
      <w:r>
        <w:t xml:space="preserve">Kotecki, D. J. &amp; Siewert, T. A. (1992). WRC-1992 constitution diagram for stainless steel weld metals: a modification of the WRC-1988 diagram. </w:t>
      </w:r>
      <w:r>
        <w:rPr>
          <w:i/>
          <w:iCs/>
        </w:rPr>
        <w:t xml:space="preserve">Welding Journal</w:t>
      </w:r>
      <w:r>
        <w:t xml:space="preserve"> 71(5), 171-s–178-s. [WJ_1992_05_s171.pdf]</w:t>
      </w:r>
    </w:p>
    <w:p>
      <w:pPr>
        <w:pStyle w:val="ListParagraph"/>
        <w:numPr>
          <w:ilvl w:val="0"/>
          <w:numId w:val="2"/>
        </w:numPr>
        <w:spacing w:after="100" w:line="280"/>
      </w:pPr>
      <w:r>
        <w:t xml:space="preserve">Siewert, T. A., McCowan, C. N. &amp; Olson, D. L. (1988). Ferrite Number prediction to 100 FN in stainless steel weld metal. </w:t>
      </w:r>
      <w:r>
        <w:rPr>
          <w:i/>
          <w:iCs/>
        </w:rPr>
        <w:t xml:space="preserve">Welding Journal</w:t>
      </w:r>
      <w:r>
        <w:t xml:space="preserve"> 67(12), 289-s–298-s. [WJ_1988_12_s289.pdf, ur AWS-arkivet]</w:t>
      </w:r>
    </w:p>
    <w:p>
      <w:pPr>
        <w:spacing w:after="160" w:line="300"/>
      </w:pPr>
      <w:r>
        <w:rPr>
          <w:b/>
          <w:bCs/>
        </w:rPr>
        <w:t xml:space="preserve">Inte lästa</w:t>
      </w:r>
      <w:r>
        <w:t xml:space="preserve"> (skulle avgöra öppna punkter):</w:t>
      </w:r>
    </w:p>
    <w:p>
      <w:pPr>
        <w:pStyle w:val="ListParagraph"/>
        <w:numPr>
          <w:ilvl w:val="0"/>
          <w:numId w:val="2"/>
        </w:numPr>
        <w:spacing w:after="100" w:line="280"/>
      </w:pPr>
      <w:r>
        <w:t xml:space="preserve">Kotecki, D. J. (1997). Ferrite determination in stainless steel welds: advances since 1974. </w:t>
      </w:r>
      <w:r>
        <w:rPr>
          <w:i/>
          <w:iCs/>
        </w:rPr>
        <w:t xml:space="preserve">Welding Journal</w:t>
      </w:r>
      <w:r>
        <w:t xml:space="preserve"> 76(1), 24-s–37-s. (FN–volymprocentrelationen för duplext svetsgods.)</w:t>
      </w:r>
    </w:p>
    <w:p>
      <w:pPr>
        <w:pStyle w:val="ListParagraph"/>
        <w:numPr>
          <w:ilvl w:val="0"/>
          <w:numId w:val="2"/>
        </w:numPr>
        <w:spacing w:after="100" w:line="280"/>
      </w:pPr>
      <w:r>
        <w:t xml:space="preserve">McCowan, C. N., Siewert, T. A. &amp; Olson, D. L. (1989). Stainless steel welds: prediction of ferrite content. WRC Bulletin 343. (Fullständig databasbeskrivning.)</w:t>
      </w:r>
    </w:p>
    <w:p>
      <w:pPr>
        <w:pStyle w:val="ListParagraph"/>
        <w:numPr>
          <w:ilvl w:val="0"/>
          <w:numId w:val="2"/>
        </w:numPr>
        <w:spacing w:after="100" w:line="280"/>
      </w:pPr>
      <w:r>
        <w:t xml:space="preserve">Lippold, J. C. &amp; Kotecki, D. J. (2005). </w:t>
      </w:r>
      <w:r>
        <w:rPr>
          <w:i/>
          <w:iCs/>
        </w:rPr>
        <w:t xml:space="preserve">Welding Metallurgy and Weldability of Stainless Steels.</w:t>
      </w:r>
      <w:r>
        <w:t xml:space="preserve"> Wiley.</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Högskolan Väst · HV.SE · Sida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03b5b"/>
      <w:sz w:val="36"/>
      <w:szCs w:val="36"/>
    </w:rPr>
  </w:style>
  <w:style w:type="paragraph" w:styleId="Heading1">
    <w:name w:val="Heading 1"/>
    <w:basedOn w:val="Normal"/>
    <w:next w:val="Normal"/>
    <w:qFormat/>
    <w:pPr>
      <w:spacing w:before="320" w:after="160"/>
      <w:outlineLvl w:val="0"/>
    </w:pPr>
    <w:rPr>
      <w:rFonts w:ascii="Arial" w:cs="Arial" w:eastAsia="Arial" w:hAnsi="Arial"/>
      <w:b/>
      <w:bCs/>
      <w:color w:val="003b5b"/>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003b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2026-09-09T12:36:45.263Z</dcterms:created>
  <dcterms:modified xsi:type="dcterms:W3CDTF">2026-09-09T12:36:45.263Z</dcterms:modified>
</cp:coreProperties>
</file>

<file path=docProps/custom.xml><?xml version="1.0" encoding="utf-8"?>
<Properties xmlns="http://schemas.openxmlformats.org/officeDocument/2006/custom-properties" xmlns:vt="http://schemas.openxmlformats.org/officeDocument/2006/docPropsVTypes"/>
</file>