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Calibri" w:cs="Calibri" w:eastAsia="Calibri" w:hAnsi="Calibri"/>
          <w:b/>
          <w:bCs/>
          <w:color w:val="1a1a2e"/>
          <w:sz w:val="52"/>
          <w:szCs w:val="52"/>
        </w:rPr>
        <w:t xml:space="preserve">Hotel Booking Intelligence Platform</w:t>
      </w:r>
    </w:p>
    <w:p>
      <w:pPr>
        <w:spacing w:after="120"/>
        <w:jc w:val="center"/>
      </w:pPr>
      <w:r>
        <w:rPr>
          <w:rFonts w:ascii="Calibri" w:cs="Calibri" w:eastAsia="Calibri" w:hAnsi="Calibri"/>
          <w:color w:val="5a6a7e"/>
          <w:sz w:val="28"/>
          <w:szCs w:val="28"/>
        </w:rPr>
        <w:t xml:space="preserve">Snowflake · Apache Spark · Analytics Dashboard</w:t>
      </w:r>
    </w:p>
    <w:p>
      <w:pPr>
        <w:spacing w:after="600"/>
        <w:jc w:val="center"/>
      </w:pPr>
      <w:r>
        <w:rPr>
          <w:rFonts w:ascii="Calibri" w:cs="Calibri" w:eastAsia="Calibri" w:hAnsi="Calibri"/>
          <w:i/>
          <w:iCs/>
          <w:color w:val="888888"/>
          <w:sz w:val="24"/>
          <w:szCs w:val="24"/>
        </w:rPr>
        <w:t xml:space="preserve">Data Engineering Project Report</w:t>
      </w:r>
    </w:p>
    <w:p>
      <w:pPr>
        <w:spacing w:after="80"/>
        <w:jc w:val="center"/>
      </w:pPr>
      <w:r>
        <w:rPr>
          <w:rFonts w:ascii="Calibri" w:cs="Calibri" w:eastAsia="Calibri" w:hAnsi="Calibri"/>
          <w:color w:val="444444"/>
          <w:sz w:val="20"/>
          <w:szCs w:val="20"/>
        </w:rPr>
        <w:t xml:space="preserve">Data Source: Kaggle Hotel Booking Demand Dataset</w:t>
      </w:r>
    </w:p>
    <w:p>
      <w:pPr>
        <w:spacing w:after="80"/>
        <w:jc w:val="center"/>
      </w:pPr>
      <w:r>
        <w:rPr>
          <w:rFonts w:ascii="Calibri" w:cs="Calibri" w:eastAsia="Calibri" w:hAnsi="Calibri"/>
          <w:i/>
          <w:iCs/>
          <w:color w:val="666666"/>
          <w:sz w:val="20"/>
          <w:szCs w:val="20"/>
        </w:rPr>
        <w:t xml:space="preserve">Antonio, Almeida Rodrigues &amp; Nunes (2019) · Data in Brief, 22, 41–49</w:t>
      </w:r>
    </w:p>
    <w:p>
      <w:pPr>
        <w:spacing w:after="80"/>
        <w:jc w:val="center"/>
      </w:pPr>
      <w:r>
        <w:rPr>
          <w:rFonts w:ascii="Calibri" w:cs="Calibri" w:eastAsia="Calibri" w:hAnsi="Calibri"/>
          <w:color w:val="555555"/>
          <w:sz w:val="20"/>
          <w:szCs w:val="20"/>
        </w:rPr>
        <w:t xml:space="preserve">Date: June 2026</w:t>
      </w:r>
    </w:p>
    <w:p>
      <w:pPr>
        <w:pageBreakBefore/>
      </w:pPr>
    </w:p>
    <w:p>
      <w:pPr>
        <w:pStyle w:val="Heading1"/>
        <w:pBdr>
          <w:bottom w:val="single" w:color="1a56db" w:sz="4" w:space="4"/>
        </w:pBdr>
        <w:spacing w:after="160" w:before="360"/>
      </w:pPr>
      <w:r>
        <w:rPr>
          <w:rFonts w:ascii="Calibri" w:cs="Calibri" w:eastAsia="Calibri" w:hAnsi="Calibri"/>
          <w:b/>
          <w:bCs/>
          <w:color w:val="1a1a2e"/>
          <w:sz w:val="36"/>
          <w:szCs w:val="36"/>
        </w:rPr>
        <w:t xml:space="preserve">1. Executive Summary</w:t>
      </w:r>
    </w:p>
    <w:p>
      <w:pPr>
        <w:spacing w:after="140"/>
      </w:pPr>
      <w:r>
        <w:rPr>
          <w:rFonts w:ascii="Calibri" w:cs="Calibri" w:eastAsia="Calibri" w:hAnsi="Calibri"/>
          <w:color w:val="2c3e50"/>
          <w:sz w:val="22"/>
          <w:szCs w:val="22"/>
        </w:rPr>
        <w:t xml:space="preserve">This project delivers a complete data engineering pipeline for a hotel chain, built on Snowflake as the primary data warehouse and Apache Spark (PySpark) for data processing. The analysis is based on the Kaggle Hotel Booking Demand dataset (~119,390 real-world bookings) enriched with synthetically generated guest loyalty, package catalog, and feedback data.</w:t>
      </w:r>
    </w:p>
    <w:p>
      <w:pPr>
        <w:spacing w:after="200"/>
      </w:pPr>
    </w:p>
    <w:p>
      <w:pPr>
        <w:spacing w:after="140"/>
      </w:pPr>
      <w:r>
        <w:rPr>
          <w:rFonts w:ascii="Calibri" w:cs="Calibri" w:eastAsia="Calibri" w:hAnsi="Calibri"/>
          <w:b/>
          <w:bCs/>
          <w:color w:val="2c3e50"/>
          <w:sz w:val="22"/>
          <w:szCs w:val="22"/>
        </w:rPr>
        <w:t xml:space="preserve">Two business objectives drive the entire pipeline design:</w:t>
      </w:r>
    </w:p>
    <w:p>
      <w:pPr>
        <w:pStyle w:val="ListParagraph"/>
        <w:numPr>
          <w:ilvl w:val="0"/>
          <w:numId w:val="2"/>
        </w:numPr>
        <w:spacing w:after="100"/>
      </w:pPr>
      <w:r>
        <w:rPr>
          <w:rFonts w:ascii="Calibri" w:cs="Calibri" w:eastAsia="Calibri" w:hAnsi="Calibri"/>
          <w:color w:val="2c3e50"/>
          <w:sz w:val="22"/>
          <w:szCs w:val="22"/>
        </w:rPr>
        <w:t xml:space="preserve">BO-1: How can we increase premium package revenue? — identifying meal plan, segment, and seasonal levers</w:t>
      </w:r>
    </w:p>
    <w:p>
      <w:pPr>
        <w:pStyle w:val="ListParagraph"/>
        <w:numPr>
          <w:ilvl w:val="0"/>
          <w:numId w:val="2"/>
        </w:numPr>
        <w:spacing w:after="100"/>
      </w:pPr>
      <w:r>
        <w:rPr>
          <w:rFonts w:ascii="Calibri" w:cs="Calibri" w:eastAsia="Calibri" w:hAnsi="Calibri"/>
          <w:color w:val="2c3e50"/>
          <w:sz w:val="22"/>
          <w:szCs w:val="22"/>
        </w:rPr>
        <w:t xml:space="preserve">BO-2: How can we improve traveler satisfaction and reduce booking friction? — tackling cancellations, NPS gaps, and low repeat rates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Dataset Rows</w:t>
            </w:r>
          </w:p>
          <w:p>
            <w:pPr>
              <w:spacing w:after="40"/>
            </w:pPr>
            <w:r>
              <w:rPr>
                <w:rFonts w:ascii="Calibri" w:cs="Calibri" w:eastAsia="Calibri" w:hAnsi="Calibri"/>
                <w:b/>
                <w:bCs/>
                <w:color w:val="1a56db"/>
                <w:sz w:val="28"/>
                <w:szCs w:val="28"/>
              </w:rPr>
              <w:t xml:space="preserve">119K</w:t>
            </w:r>
          </w:p>
          <w:p>
            <w:pPr>
              <w:spacing w:after="0"/>
            </w:pPr>
            <w:r>
              <w:rPr>
                <w:rFonts w:ascii="Calibri" w:cs="Calibri" w:eastAsia="Calibri" w:hAnsi="Calibri"/>
                <w:color w:val="666666"/>
                <w:sz w:val="16"/>
                <w:szCs w:val="16"/>
              </w:rPr>
              <w:t xml:space="preserve">hotel_bookings.csv</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Platform</w:t>
            </w:r>
          </w:p>
          <w:p>
            <w:pPr>
              <w:spacing w:after="40"/>
            </w:pPr>
            <w:r>
              <w:rPr>
                <w:rFonts w:ascii="Calibri" w:cs="Calibri" w:eastAsia="Calibri" w:hAnsi="Calibri"/>
                <w:b/>
                <w:bCs/>
                <w:color w:val="1a56db"/>
                <w:sz w:val="28"/>
                <w:szCs w:val="28"/>
              </w:rPr>
              <w:t xml:space="preserve">Snowflake</w:t>
            </w:r>
          </w:p>
          <w:p>
            <w:pPr>
              <w:spacing w:after="0"/>
            </w:pPr>
            <w:r>
              <w:rPr>
                <w:rFonts w:ascii="Calibri" w:cs="Calibri" w:eastAsia="Calibri" w:hAnsi="Calibri"/>
                <w:color w:val="666666"/>
                <w:sz w:val="16"/>
                <w:szCs w:val="16"/>
              </w:rPr>
              <w:t xml:space="preserve">RAW / CURATED / ANALYTICS</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Processing</w:t>
            </w:r>
          </w:p>
          <w:p>
            <w:pPr>
              <w:spacing w:after="40"/>
            </w:pPr>
            <w:r>
              <w:rPr>
                <w:rFonts w:ascii="Calibri" w:cs="Calibri" w:eastAsia="Calibri" w:hAnsi="Calibri"/>
                <w:b/>
                <w:bCs/>
                <w:color w:val="1a56db"/>
                <w:sz w:val="28"/>
                <w:szCs w:val="28"/>
              </w:rPr>
              <w:t xml:space="preserve">PySpark</w:t>
            </w:r>
          </w:p>
          <w:p>
            <w:pPr>
              <w:spacing w:after="0"/>
            </w:pPr>
            <w:r>
              <w:rPr>
                <w:rFonts w:ascii="Calibri" w:cs="Calibri" w:eastAsia="Calibri" w:hAnsi="Calibri"/>
                <w:color w:val="666666"/>
                <w:sz w:val="16"/>
                <w:szCs w:val="16"/>
              </w:rPr>
              <w:t xml:space="preserve">Databricks-compatible</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Dashboard Tabs</w:t>
            </w:r>
          </w:p>
          <w:p>
            <w:pPr>
              <w:spacing w:after="40"/>
            </w:pPr>
            <w:r>
              <w:rPr>
                <w:rFonts w:ascii="Calibri" w:cs="Calibri" w:eastAsia="Calibri" w:hAnsi="Calibri"/>
                <w:b/>
                <w:bCs/>
                <w:color w:val="1a56db"/>
                <w:sz w:val="28"/>
                <w:szCs w:val="28"/>
              </w:rPr>
              <w:t xml:space="preserve">3</w:t>
            </w:r>
          </w:p>
          <w:p>
            <w:pPr>
              <w:spacing w:after="0"/>
            </w:pPr>
            <w:r>
              <w:rPr>
                <w:rFonts w:ascii="Calibri" w:cs="Calibri" w:eastAsia="Calibri" w:hAnsi="Calibri"/>
                <w:color w:val="666666"/>
                <w:sz w:val="16"/>
                <w:szCs w:val="16"/>
              </w:rPr>
              <w:t xml:space="preserve">BO-1, BO-2, Pipeline</w:t>
            </w:r>
          </w:p>
        </w:tc>
      </w:tr>
    </w:tbl>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2. Data Sources</w:t>
      </w:r>
    </w:p>
    <w:p>
      <w:pPr>
        <w:pStyle w:val="Heading2"/>
        <w:spacing w:after="160" w:before="240"/>
      </w:pPr>
      <w:r>
        <w:rPr>
          <w:rFonts w:ascii="Calibri" w:cs="Calibri" w:eastAsia="Calibri" w:hAnsi="Calibri"/>
          <w:b/>
          <w:bCs/>
          <w:color w:val="1a1a2e"/>
          <w:sz w:val="28"/>
          <w:szCs w:val="28"/>
        </w:rPr>
        <w:t xml:space="preserve">2.1 Primary Dataset</w:t>
      </w:r>
    </w:p>
    <w:p>
      <w:pPr>
        <w:spacing w:after="140"/>
      </w:pPr>
      <w:r>
        <w:rPr>
          <w:rFonts w:ascii="Calibri" w:cs="Calibri" w:eastAsia="Calibri" w:hAnsi="Calibri"/>
          <w:color w:val="2c3e50"/>
          <w:sz w:val="22"/>
          <w:szCs w:val="22"/>
        </w:rPr>
        <w:t xml:space="preserve">The primary dataset is Hotel Booking Demand, published by Antonio, Almeida Rodrigues, and Nunes in 2019. It contains 119,390 booking records from two Portuguese hotels (a city hotel and a resort hotel) covering July 2015 to August 2017. Fields include 32 attributes spanning booking dates, lead time, length of stay, meal plan, market segment, ADR, cancellation status, and country of origin.</w:t>
      </w:r>
    </w:p>
    <w:p>
      <w:pPr>
        <w:spacing w:after="200"/>
      </w:pPr>
    </w:p>
    <w:p>
      <w:pPr>
        <w:spacing w:after="140"/>
      </w:pPr>
      <w:r>
        <w:rPr>
          <w:rFonts w:ascii="Calibri" w:cs="Calibri" w:eastAsia="Calibri" w:hAnsi="Calibri"/>
          <w:b/>
          <w:bCs/>
          <w:color w:val="2c3e50"/>
          <w:sz w:val="22"/>
          <w:szCs w:val="22"/>
        </w:rPr>
        <w:t xml:space="preserve">Full citation:</w:t>
      </w:r>
    </w:p>
    <w:p>
      <w:pPr>
        <w:spacing w:after="140"/>
      </w:pPr>
      <w:r>
        <w:rPr>
          <w:rFonts w:ascii="Calibri" w:cs="Calibri" w:eastAsia="Calibri" w:hAnsi="Calibri"/>
          <w:i/>
          <w:iCs/>
          <w:color w:val="5a6a7e"/>
          <w:sz w:val="22"/>
          <w:szCs w:val="22"/>
        </w:rPr>
        <w:t xml:space="preserve">Antonio, A., de Almeida Rodrigues, A., &amp; Nunes, L. (2019). Hotel booking demand datasets. Data in Brief, 22, 41–49. https://www.kaggle.com/datasets/mojtaba142/hotel-booking</w:t>
      </w:r>
    </w:p>
    <w:p>
      <w:pPr>
        <w:spacing w:after="200"/>
      </w:pPr>
    </w:p>
    <w:p>
      <w:pPr>
        <w:pStyle w:val="Heading2"/>
        <w:spacing w:after="160" w:before="240"/>
      </w:pPr>
      <w:r>
        <w:rPr>
          <w:rFonts w:ascii="Calibri" w:cs="Calibri" w:eastAsia="Calibri" w:hAnsi="Calibri"/>
          <w:b/>
          <w:bCs/>
          <w:color w:val="1a1a2e"/>
          <w:sz w:val="28"/>
          <w:szCs w:val="28"/>
        </w:rPr>
        <w:t xml:space="preserve">2.2 Synthetic Enrichment Data</w:t>
      </w:r>
    </w:p>
    <w:p>
      <w:pPr>
        <w:spacing w:after="140"/>
      </w:pPr>
      <w:r>
        <w:rPr>
          <w:rFonts w:ascii="Calibri" w:cs="Calibri" w:eastAsia="Calibri" w:hAnsi="Calibri"/>
          <w:color w:val="2c3e50"/>
          <w:sz w:val="22"/>
          <w:szCs w:val="22"/>
        </w:rPr>
        <w:t xml:space="preserve">Three additional datasets were generated using the included generate_fake_data.py script (seed=42 for full reproducibility). No LLM-generated data was used anywhere in this project.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rPr>
          <w:tblHeader/>
        </w:trPr>
        <w:tc>
          <w:tcPr>
            <w:tcW w:type="dxa" w:w="28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tcW w:type="dxa" w:w="1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Rows</w:t>
            </w:r>
          </w:p>
        </w:tc>
        <w:tc>
          <w:tcPr>
            <w:tcW w:type="dxa" w:w="28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c>
          <w:tcPr>
            <w:tcW w:type="dxa" w:w="25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Key Fields</w:t>
            </w:r>
          </w:p>
        </w:tc>
      </w:tr>
      <w:tr>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fake_guest_profiles.csv</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5,000</w:t>
            </w:r>
          </w:p>
        </w:tc>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Loyalty tier &amp; lifetime spend</w:t>
            </w:r>
          </w:p>
        </w:tc>
        <w:tc>
          <w:tcPr>
            <w:tcW w:type="dxa" w:w="2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loyalty_tier, total_spend_eur</w:t>
            </w:r>
          </w:p>
        </w:tc>
      </w:tr>
      <w:tr>
        <w:tc>
          <w:tcPr>
            <w:tcW w:type="dxa" w:w="28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fake_package_catalog.csv</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28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Package definitions &amp; margins</w:t>
            </w:r>
          </w:p>
        </w:tc>
        <w:tc>
          <w:tcPr>
            <w:tcW w:type="dxa" w:w="2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margin_pct, min_nights</w:t>
            </w:r>
          </w:p>
        </w:tc>
      </w:tr>
      <w:tr>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fake_feedback_scores.csv</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8,000</w:t>
            </w:r>
          </w:p>
        </w:tc>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NPS &amp; satisfaction scores</w:t>
            </w:r>
          </w:p>
        </w:tc>
        <w:tc>
          <w:tcPr>
            <w:tcW w:type="dxa" w:w="2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nps_score, avg_satisfaction</w:t>
            </w:r>
          </w:p>
        </w:tc>
      </w:tr>
    </w:tbl>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3. Architecture &amp; Pipeline</w:t>
      </w:r>
    </w:p>
    <w:p>
      <w:pPr>
        <w:pStyle w:val="Heading2"/>
        <w:spacing w:after="160" w:before="240"/>
      </w:pPr>
      <w:r>
        <w:rPr>
          <w:rFonts w:ascii="Calibri" w:cs="Calibri" w:eastAsia="Calibri" w:hAnsi="Calibri"/>
          <w:b/>
          <w:bCs/>
          <w:color w:val="1a1a2e"/>
          <w:sz w:val="28"/>
          <w:szCs w:val="28"/>
        </w:rPr>
        <w:t xml:space="preserve">3.1 Three-Layer Snowflake Schema</w:t>
      </w:r>
    </w:p>
    <w:p>
      <w:pPr>
        <w:spacing w:after="140"/>
      </w:pPr>
      <w:r>
        <w:rPr>
          <w:rFonts w:ascii="Calibri" w:cs="Calibri" w:eastAsia="Calibri" w:hAnsi="Calibri"/>
          <w:color w:val="2c3e50"/>
          <w:sz w:val="22"/>
          <w:szCs w:val="22"/>
        </w:rPr>
        <w:t xml:space="preserve">The Snowflake database uses a three-layer medallion architecture to enforce clear separation of concerns and support incremental downstream updates: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800"/>
        <w:gridCol w:w="2560"/>
      </w:tblGrid>
      <w:tr>
        <w:trPr>
          <w:tblHeader/>
        </w:trPr>
        <w:tc>
          <w:tcPr>
            <w:tcW w:type="dxa" w:w="15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15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Schema</w:t>
            </w:r>
          </w:p>
        </w:tc>
        <w:tc>
          <w:tcPr>
            <w:tcW w:type="dxa" w:w="38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Tables</w:t>
            </w:r>
          </w:p>
        </w:tc>
        <w:tc>
          <w:tcPr>
            <w:tcW w:type="dxa" w:w="25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1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Bronze / Raw</w:t>
            </w:r>
          </w:p>
        </w:tc>
        <w:tc>
          <w:tcPr>
            <w:tcW w:type="dxa" w:w="1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RAW</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HOTEL_BOOKINGS, GUEST_PROFILES, PACKAGE_CATALOG, FEEDBACK_SCORES</w:t>
            </w:r>
          </w:p>
        </w:tc>
        <w:tc>
          <w:tcPr>
            <w:tcW w:type="dxa" w:w="2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Direct CSV ingestion, all strings, no transformation</w:t>
            </w:r>
          </w:p>
        </w:tc>
      </w:tr>
      <w:tr>
        <w:tc>
          <w:tcPr>
            <w:tcW w:type="dxa" w:w="15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Silver / Curated</w:t>
            </w:r>
          </w:p>
        </w:tc>
        <w:tc>
          <w:tcPr>
            <w:tcW w:type="dxa" w:w="15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CURATED</w:t>
            </w:r>
          </w:p>
        </w:tc>
        <w:tc>
          <w:tcPr>
            <w:tcW w:type="dxa" w:w="38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BOOKINGS, FEEDBACK</w:t>
            </w:r>
          </w:p>
        </w:tc>
        <w:tc>
          <w:tcPr>
            <w:tcW w:type="dxa" w:w="2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Typed, cleaned, derived fields added by Spark</w:t>
            </w:r>
          </w:p>
        </w:tc>
      </w:tr>
      <w:tr>
        <w:tc>
          <w:tcPr>
            <w:tcW w:type="dxa" w:w="1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Gold / Analytics</w:t>
            </w:r>
          </w:p>
        </w:tc>
        <w:tc>
          <w:tcPr>
            <w:tcW w:type="dxa" w:w="1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ANALYTICS</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BO1_PREMIUM_REVENUE, BO2_SATISFACTION, JSON_EXPORT</w:t>
            </w:r>
          </w:p>
        </w:tc>
        <w:tc>
          <w:tcPr>
            <w:tcW w:type="dxa" w:w="2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Pre-aggregated metrics, JSON export for downstream</w:t>
            </w:r>
          </w:p>
        </w:tc>
      </w:tr>
    </w:tbl>
    <w:p>
      <w:pPr>
        <w:spacing w:after="200"/>
      </w:pPr>
    </w:p>
    <w:p>
      <w:pPr>
        <w:pStyle w:val="Heading2"/>
        <w:spacing w:after="160" w:before="240"/>
      </w:pPr>
      <w:r>
        <w:rPr>
          <w:rFonts w:ascii="Calibri" w:cs="Calibri" w:eastAsia="Calibri" w:hAnsi="Calibri"/>
          <w:b/>
          <w:bCs/>
          <w:color w:val="1a1a2e"/>
          <w:sz w:val="28"/>
          <w:szCs w:val="28"/>
        </w:rPr>
        <w:t xml:space="preserve">3.2 Data Processing (Spark)</w:t>
      </w:r>
    </w:p>
    <w:p>
      <w:pPr>
        <w:spacing w:after="140"/>
      </w:pPr>
      <w:r>
        <w:rPr>
          <w:rFonts w:ascii="Calibri" w:cs="Calibri" w:eastAsia="Calibri" w:hAnsi="Calibri"/>
          <w:color w:val="2c3e50"/>
          <w:sz w:val="22"/>
          <w:szCs w:val="22"/>
        </w:rPr>
        <w:t xml:space="preserve">Data processing uses Apache PySpark (etl/spark_transform.py), making the pipeline compatible with Databricks. Key transformations include:</w:t>
      </w:r>
    </w:p>
    <w:p>
      <w:pPr>
        <w:pStyle w:val="ListParagraph"/>
        <w:numPr>
          <w:ilvl w:val="0"/>
          <w:numId w:val="2"/>
        </w:numPr>
        <w:spacing w:after="100"/>
      </w:pPr>
      <w:r>
        <w:rPr>
          <w:rFonts w:ascii="Calibri" w:cs="Calibri" w:eastAsia="Calibri" w:hAnsi="Calibri"/>
          <w:color w:val="2c3e50"/>
          <w:sz w:val="22"/>
          <w:szCs w:val="22"/>
        </w:rPr>
        <w:t xml:space="preserve">Casting all RAW string columns to correct types (INT, FLOAT, BOOLEAN, DATE)</w:t>
      </w:r>
    </w:p>
    <w:p>
      <w:pPr>
        <w:pStyle w:val="ListParagraph"/>
        <w:numPr>
          <w:ilvl w:val="0"/>
          <w:numId w:val="2"/>
        </w:numPr>
        <w:spacing w:after="100"/>
      </w:pPr>
      <w:r>
        <w:rPr>
          <w:rFonts w:ascii="Calibri" w:cs="Calibri" w:eastAsia="Calibri" w:hAnsi="Calibri"/>
          <w:color w:val="2c3e50"/>
          <w:sz w:val="22"/>
          <w:szCs w:val="22"/>
        </w:rPr>
        <w:t xml:space="preserve">Building arrival_date from three separate year/month/day columns</w:t>
      </w:r>
    </w:p>
    <w:p>
      <w:pPr>
        <w:pStyle w:val="ListParagraph"/>
        <w:numPr>
          <w:ilvl w:val="0"/>
          <w:numId w:val="2"/>
        </w:numPr>
        <w:spacing w:after="100"/>
      </w:pPr>
      <w:r>
        <w:rPr>
          <w:rFonts w:ascii="Calibri" w:cs="Calibri" w:eastAsia="Calibri" w:hAnsi="Calibri"/>
          <w:color w:val="2c3e50"/>
          <w:sz w:val="22"/>
          <w:szCs w:val="22"/>
        </w:rPr>
        <w:t xml:space="preserve">Deriving total_nights = weekend_nights + week_nights</w:t>
      </w:r>
    </w:p>
    <w:p>
      <w:pPr>
        <w:pStyle w:val="ListParagraph"/>
        <w:numPr>
          <w:ilvl w:val="0"/>
          <w:numId w:val="2"/>
        </w:numPr>
        <w:spacing w:after="100"/>
      </w:pPr>
      <w:r>
        <w:rPr>
          <w:rFonts w:ascii="Calibri" w:cs="Calibri" w:eastAsia="Calibri" w:hAnsi="Calibri"/>
          <w:color w:val="2c3e50"/>
          <w:sz w:val="22"/>
          <w:szCs w:val="22"/>
        </w:rPr>
        <w:t xml:space="preserve">Flagging is_premium_meal (True if meal IN [HB, FB])</w:t>
      </w:r>
    </w:p>
    <w:p>
      <w:pPr>
        <w:pStyle w:val="ListParagraph"/>
        <w:numPr>
          <w:ilvl w:val="0"/>
          <w:numId w:val="2"/>
        </w:numPr>
        <w:spacing w:after="100"/>
      </w:pPr>
      <w:r>
        <w:rPr>
          <w:rFonts w:ascii="Calibri" w:cs="Calibri" w:eastAsia="Calibri" w:hAnsi="Calibri"/>
          <w:color w:val="2c3e50"/>
          <w:sz w:val="22"/>
          <w:szCs w:val="22"/>
        </w:rPr>
        <w:t xml:space="preserve">Classifying revenue_bucket: Low (&lt;€80), Mid (€80–150), Premium (&gt;€150)</w:t>
      </w:r>
    </w:p>
    <w:p>
      <w:pPr>
        <w:pStyle w:val="ListParagraph"/>
        <w:numPr>
          <w:ilvl w:val="0"/>
          <w:numId w:val="2"/>
        </w:numPr>
        <w:spacing w:after="100"/>
      </w:pPr>
      <w:r>
        <w:rPr>
          <w:rFonts w:ascii="Calibri" w:cs="Calibri" w:eastAsia="Calibri" w:hAnsi="Calibri"/>
          <w:color w:val="2c3e50"/>
          <w:sz w:val="22"/>
          <w:szCs w:val="22"/>
        </w:rPr>
        <w:t xml:space="preserve">Detecting room_upgrade when reserved_room_type != assigned_room_type</w:t>
      </w:r>
    </w:p>
    <w:p>
      <w:pPr>
        <w:pStyle w:val="ListParagraph"/>
        <w:numPr>
          <w:ilvl w:val="0"/>
          <w:numId w:val="2"/>
        </w:numPr>
        <w:spacing w:after="100"/>
      </w:pPr>
      <w:r>
        <w:rPr>
          <w:rFonts w:ascii="Calibri" w:cs="Calibri" w:eastAsia="Calibri" w:hAnsi="Calibri"/>
          <w:color w:val="2c3e50"/>
          <w:sz w:val="22"/>
          <w:szCs w:val="22"/>
        </w:rPr>
        <w:t xml:space="preserve">Computing NPS categories: Promoter (≥9), Passive (7–8), Detractor (&lt;7)</w:t>
      </w:r>
    </w:p>
    <w:p>
      <w:pPr>
        <w:spacing w:after="200"/>
      </w:pPr>
    </w:p>
    <w:p>
      <w:pPr>
        <w:pStyle w:val="Heading2"/>
        <w:spacing w:after="160" w:before="240"/>
      </w:pPr>
      <w:r>
        <w:rPr>
          <w:rFonts w:ascii="Calibri" w:cs="Calibri" w:eastAsia="Calibri" w:hAnsi="Calibri"/>
          <w:b/>
          <w:bCs/>
          <w:color w:val="1a1a2e"/>
          <w:sz w:val="28"/>
          <w:szCs w:val="28"/>
        </w:rPr>
        <w:t xml:space="preserve">3.3 Testing Strategy</w:t>
      </w:r>
    </w:p>
    <w:p>
      <w:pPr>
        <w:spacing w:after="140"/>
      </w:pPr>
      <w:r>
        <w:rPr>
          <w:rFonts w:ascii="Calibri" w:cs="Calibri" w:eastAsia="Calibri" w:hAnsi="Calibri"/>
          <w:color w:val="2c3e50"/>
          <w:sz w:val="22"/>
          <w:szCs w:val="22"/>
        </w:rPr>
        <w:t xml:space="preserve">All tests are in tests/ and run with pytest. The project implements the downstream update testing strategy specified in the brief:</w:t>
      </w:r>
    </w:p>
    <w:p>
      <w:pPr>
        <w:pStyle w:val="ListParagraph"/>
        <w:numPr>
          <w:ilvl w:val="0"/>
          <w:numId w:val="2"/>
        </w:numPr>
        <w:spacing w:after="100"/>
      </w:pPr>
      <w:r>
        <w:rPr>
          <w:rFonts w:ascii="Calibri" w:cs="Calibri" w:eastAsia="Calibri" w:hAnsi="Calibri"/>
          <w:color w:val="2c3e50"/>
          <w:sz w:val="22"/>
          <w:szCs w:val="22"/>
        </w:rPr>
        <w:t xml:space="preserve">New data added to source → re-run ingest_to_snowflake.py → RAW refreshed</w:t>
      </w:r>
    </w:p>
    <w:p>
      <w:pPr>
        <w:pStyle w:val="ListParagraph"/>
        <w:numPr>
          <w:ilvl w:val="0"/>
          <w:numId w:val="2"/>
        </w:numPr>
        <w:spacing w:after="100"/>
      </w:pPr>
      <w:r>
        <w:rPr>
          <w:rFonts w:ascii="Calibri" w:cs="Calibri" w:eastAsia="Calibri" w:hAnsi="Calibri"/>
          <w:color w:val="2c3e50"/>
          <w:sz w:val="22"/>
          <w:szCs w:val="22"/>
        </w:rPr>
        <w:t xml:space="preserve">Spark transform re-executed → CURATED layer updated automatically</w:t>
      </w:r>
    </w:p>
    <w:p>
      <w:pPr>
        <w:pStyle w:val="ListParagraph"/>
        <w:numPr>
          <w:ilvl w:val="0"/>
          <w:numId w:val="2"/>
        </w:numPr>
        <w:spacing w:after="100"/>
      </w:pPr>
      <w:r>
        <w:rPr>
          <w:rFonts w:ascii="Calibri" w:cs="Calibri" w:eastAsia="Calibri" w:hAnsi="Calibri"/>
          <w:color w:val="2c3e50"/>
          <w:sz w:val="22"/>
          <w:szCs w:val="22"/>
        </w:rPr>
        <w:t xml:space="preserve">BO SQL queries re-run → ANALYTICS tables and JSON_EXPORT populated</w:t>
      </w:r>
    </w:p>
    <w:p>
      <w:pPr>
        <w:pStyle w:val="ListParagraph"/>
        <w:numPr>
          <w:ilvl w:val="0"/>
          <w:numId w:val="2"/>
        </w:numPr>
        <w:spacing w:after="100"/>
      </w:pPr>
      <w:r>
        <w:rPr>
          <w:rFonts w:ascii="Calibri" w:cs="Calibri" w:eastAsia="Calibri" w:hAnsi="Calibri"/>
          <w:color w:val="2c3e50"/>
          <w:sz w:val="22"/>
          <w:szCs w:val="22"/>
        </w:rPr>
        <w:t xml:space="preserve">Dashboard reflects updated metrics; pytest validates data quality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Test Suite</w:t>
            </w:r>
          </w:p>
        </w:tc>
        <w:tc>
          <w:tcPr>
            <w:tcW w:type="dxa" w:w="10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Tests</w:t>
            </w:r>
          </w:p>
        </w:tc>
        <w:tc>
          <w:tcPr>
            <w:tcW w:type="dxa" w:w="57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What it Validates</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TestBookingsSchema</w:t>
            </w:r>
          </w:p>
        </w:tc>
        <w:tc>
          <w:tcPr>
            <w:tcW w:type="dxa" w:w="1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5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Required columns, value ranges, no negative ADR, binary cancel flag</w:t>
            </w:r>
          </w:p>
        </w:tc>
      </w:tr>
      <w:tr>
        <w:tc>
          <w:tcPr>
            <w:tcW w:type="dxa" w:w="2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TestGuestProfiles</w:t>
            </w:r>
          </w:p>
        </w:tc>
        <w:tc>
          <w:tcPr>
            <w:tcW w:type="dxa" w:w="10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57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Unique IDs, valid loyalty tiers, spend positivity, Platinum rarity</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TestPackageCatalog</w:t>
            </w:r>
          </w:p>
        </w:tc>
        <w:tc>
          <w:tcPr>
            <w:tcW w:type="dxa" w:w="1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5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8 packages, unique IDs, margin range 0–1, premium &gt; standard margin</w:t>
            </w:r>
          </w:p>
        </w:tc>
      </w:tr>
      <w:tr>
        <w:tc>
          <w:tcPr>
            <w:tcW w:type="dxa" w:w="2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TestFeedbackScores</w:t>
            </w:r>
          </w:p>
        </w:tc>
        <w:tc>
          <w:tcPr>
            <w:tcW w:type="dxa" w:w="10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5</w:t>
            </w:r>
          </w:p>
        </w:tc>
        <w:tc>
          <w:tcPr>
            <w:tcW w:type="dxa" w:w="57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NPS 0–10, satisfaction 1–5, premium NPS &gt; standard NPS</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TestTransformLogic</w:t>
            </w:r>
          </w:p>
        </w:tc>
        <w:tc>
          <w:tcPr>
            <w:tcW w:type="dxa" w:w="1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7</w:t>
            </w:r>
          </w:p>
        </w:tc>
        <w:tc>
          <w:tcPr>
            <w:tcW w:type="dxa" w:w="5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total_nights, is_premium_meal, revenue_bucket, room_upgrade logic</w:t>
            </w:r>
          </w:p>
        </w:tc>
      </w:tr>
      <w:tr>
        <w:tc>
          <w:tcPr>
            <w:tcW w:type="dxa" w:w="2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TestNPSCategorization</w:t>
            </w:r>
          </w:p>
        </w:tc>
        <w:tc>
          <w:tcPr>
            <w:tcW w:type="dxa" w:w="10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57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Promoter/Passive/Detractor boundary conditions</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TestDownstreamUpdate</w:t>
            </w:r>
          </w:p>
        </w:tc>
        <w:tc>
          <w:tcPr>
            <w:tcW w:type="dxa" w:w="1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5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New booking increases count; new cancel raises rate; JSON structure</w:t>
            </w:r>
          </w:p>
        </w:tc>
      </w:tr>
    </w:tbl>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4. Business Objective 1 — Increase Premium Package Revenue</w:t>
      </w:r>
    </w:p>
    <w:p>
      <w:pPr>
        <w:pStyle w:val="Heading2"/>
        <w:spacing w:after="160" w:before="240"/>
      </w:pPr>
      <w:r>
        <w:rPr>
          <w:rFonts w:ascii="Calibri" w:cs="Calibri" w:eastAsia="Calibri" w:hAnsi="Calibri"/>
          <w:b/>
          <w:bCs/>
          <w:color w:val="1a1a2e"/>
          <w:sz w:val="28"/>
          <w:szCs w:val="28"/>
        </w:rPr>
        <w:t xml:space="preserve">4.1 Problem Statement</w:t>
      </w:r>
    </w:p>
    <w:p>
      <w:pPr>
        <w:spacing w:after="140"/>
      </w:pPr>
      <w:r>
        <w:rPr>
          <w:rFonts w:ascii="Calibri" w:cs="Calibri" w:eastAsia="Calibri" w:hAnsi="Calibri"/>
          <w:color w:val="2c3e50"/>
          <w:sz w:val="22"/>
          <w:szCs w:val="22"/>
        </w:rPr>
        <w:t xml:space="preserve">The hotel chain generates revenue primarily through room rates (ADR), but meal packages — Half Board (HB) and Full Board (FB) — represent a significant upsell opportunity that is currently under-converted. Understanding which guest segments, booking channels, and seasons drive premium purchases allows targeted commercial intervention.</w:t>
      </w:r>
    </w:p>
    <w:p>
      <w:pPr>
        <w:spacing w:after="200"/>
      </w:pPr>
    </w:p>
    <w:p>
      <w:pPr>
        <w:pStyle w:val="Heading2"/>
        <w:spacing w:after="160" w:before="240"/>
      </w:pPr>
      <w:r>
        <w:rPr>
          <w:rFonts w:ascii="Calibri" w:cs="Calibri" w:eastAsia="Calibri" w:hAnsi="Calibri"/>
          <w:b/>
          <w:bCs/>
          <w:color w:val="1a1a2e"/>
          <w:sz w:val="28"/>
          <w:szCs w:val="28"/>
        </w:rPr>
        <w:t xml:space="preserve">4.2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FB/HB ADR Premium</w:t>
            </w:r>
          </w:p>
          <w:p>
            <w:pPr>
              <w:spacing w:after="40"/>
            </w:pPr>
            <w:r>
              <w:rPr>
                <w:rFonts w:ascii="Calibri" w:cs="Calibri" w:eastAsia="Calibri" w:hAnsi="Calibri"/>
                <w:b/>
                <w:bCs/>
                <w:color w:val="1a56db"/>
                <w:sz w:val="28"/>
                <w:szCs w:val="28"/>
              </w:rPr>
              <w:t xml:space="preserve">+55%</w:t>
            </w:r>
          </w:p>
          <w:p>
            <w:pPr>
              <w:spacing w:after="0"/>
            </w:pPr>
            <w:r>
              <w:rPr>
                <w:rFonts w:ascii="Calibri" w:cs="Calibri" w:eastAsia="Calibri" w:hAnsi="Calibri"/>
                <w:color w:val="666666"/>
                <w:sz w:val="16"/>
                <w:szCs w:val="16"/>
              </w:rPr>
              <w:t xml:space="preserve">vs Bed &amp; Breakfast</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Direct Segment</w:t>
            </w:r>
          </w:p>
          <w:p>
            <w:pPr>
              <w:spacing w:after="40"/>
            </w:pPr>
            <w:r>
              <w:rPr>
                <w:rFonts w:ascii="Calibri" w:cs="Calibri" w:eastAsia="Calibri" w:hAnsi="Calibri"/>
                <w:b/>
                <w:bCs/>
                <w:color w:val="1a56db"/>
                <w:sz w:val="28"/>
                <w:szCs w:val="28"/>
              </w:rPr>
              <w:t xml:space="preserve">31%</w:t>
            </w:r>
          </w:p>
          <w:p>
            <w:pPr>
              <w:spacing w:after="0"/>
            </w:pPr>
            <w:r>
              <w:rPr>
                <w:rFonts w:ascii="Calibri" w:cs="Calibri" w:eastAsia="Calibri" w:hAnsi="Calibri"/>
                <w:color w:val="666666"/>
                <w:sz w:val="16"/>
                <w:szCs w:val="16"/>
              </w:rPr>
              <w:t xml:space="preserve">highest premium conversion</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Peak ADR Month</w:t>
            </w:r>
          </w:p>
          <w:p>
            <w:pPr>
              <w:spacing w:after="40"/>
            </w:pPr>
            <w:r>
              <w:rPr>
                <w:rFonts w:ascii="Calibri" w:cs="Calibri" w:eastAsia="Calibri" w:hAnsi="Calibri"/>
                <w:b/>
                <w:bCs/>
                <w:color w:val="1a56db"/>
                <w:sz w:val="28"/>
                <w:szCs w:val="28"/>
              </w:rPr>
              <w:t xml:space="preserve">August</w:t>
            </w:r>
          </w:p>
          <w:p>
            <w:pPr>
              <w:spacing w:after="0"/>
            </w:pPr>
            <w:r>
              <w:rPr>
                <w:rFonts w:ascii="Calibri" w:cs="Calibri" w:eastAsia="Calibri" w:hAnsi="Calibri"/>
                <w:color w:val="666666"/>
                <w:sz w:val="16"/>
                <w:szCs w:val="16"/>
              </w:rPr>
              <w:t xml:space="preserve">€224 avg for premium meal</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Online TA Volume</w:t>
            </w:r>
          </w:p>
          <w:p>
            <w:pPr>
              <w:spacing w:after="40"/>
            </w:pPr>
            <w:r>
              <w:rPr>
                <w:rFonts w:ascii="Calibri" w:cs="Calibri" w:eastAsia="Calibri" w:hAnsi="Calibri"/>
                <w:b/>
                <w:bCs/>
                <w:color w:val="1a56db"/>
                <w:sz w:val="28"/>
                <w:szCs w:val="28"/>
              </w:rPr>
              <w:t xml:space="preserve">56K</w:t>
            </w:r>
          </w:p>
          <w:p>
            <w:pPr>
              <w:spacing w:after="0"/>
            </w:pPr>
            <w:r>
              <w:rPr>
                <w:rFonts w:ascii="Calibri" w:cs="Calibri" w:eastAsia="Calibri" w:hAnsi="Calibri"/>
                <w:color w:val="666666"/>
                <w:sz w:val="16"/>
                <w:szCs w:val="16"/>
              </w:rPr>
              <w:t xml:space="preserve">bookings, 22% premium rate</w:t>
            </w:r>
          </w:p>
        </w:tc>
      </w:tr>
    </w:tbl>
    <w:p>
      <w:pPr>
        <w:spacing w:after="200"/>
      </w:pPr>
    </w:p>
    <w:p>
      <w:pPr>
        <w:pStyle w:val="Heading2"/>
        <w:spacing w:after="160" w:before="240"/>
      </w:pPr>
      <w:r>
        <w:rPr>
          <w:rFonts w:ascii="Calibri" w:cs="Calibri" w:eastAsia="Calibri" w:hAnsi="Calibri"/>
          <w:b/>
          <w:bCs/>
          <w:color w:val="1a1a2e"/>
          <w:sz w:val="28"/>
          <w:szCs w:val="28"/>
        </w:rPr>
        <w:t xml:space="preserve">4.3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400"/>
        <w:gridCol w:w="1200"/>
        <w:gridCol w:w="1160"/>
      </w:tblGrid>
      <w:tr>
        <w:trPr>
          <w:tblHeader/>
        </w:trPr>
        <w:tc>
          <w:tcPr>
            <w:tcW w:type="dxa" w:w="2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Market Segment</w:t>
            </w:r>
          </w:p>
        </w:tc>
        <w:tc>
          <w:tcPr>
            <w:tcW w:type="dxa" w:w="16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Total Bookings</w:t>
            </w:r>
          </w:p>
        </w:tc>
        <w:tc>
          <w:tcPr>
            <w:tcW w:type="dxa" w:w="18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Premium Bookings</w:t>
            </w:r>
          </w:p>
        </w:tc>
        <w:tc>
          <w:tcPr>
            <w:tcW w:type="dxa" w:w="14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Premium %</w:t>
            </w:r>
          </w:p>
        </w:tc>
        <w:tc>
          <w:tcPr>
            <w:tcW w:type="dxa" w:w="1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Avg ADR</w:t>
            </w:r>
          </w:p>
        </w:tc>
        <w:tc>
          <w:tcPr>
            <w:tcW w:type="dxa" w:w="11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Opportunity</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Direct</w:t>
            </w:r>
          </w:p>
        </w:tc>
        <w:tc>
          <w:tcPr>
            <w:tcW w:type="dxa" w:w="1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12,606</w:t>
            </w:r>
          </w:p>
        </w:tc>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3,908</w:t>
            </w:r>
          </w:p>
        </w:tc>
        <w:tc>
          <w:tcPr>
            <w:tcW w:type="dxa" w:w="1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31%</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€142</w:t>
            </w:r>
          </w:p>
        </w:tc>
        <w:tc>
          <w:tcPr>
            <w:tcW w:type="dxa" w:w="11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High</w:t>
            </w:r>
          </w:p>
        </w:tc>
      </w:tr>
      <w:tr>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Online TA</w:t>
            </w:r>
          </w:p>
        </w:tc>
        <w:tc>
          <w:tcPr>
            <w:tcW w:type="dxa" w:w="1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56,477</w:t>
            </w:r>
          </w:p>
        </w:tc>
        <w:tc>
          <w:tcPr>
            <w:tcW w:type="dxa" w:w="18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12,424</w:t>
            </w:r>
          </w:p>
        </w:tc>
        <w:tc>
          <w:tcPr>
            <w:tcW w:type="dxa" w:w="14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22%</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€101</w:t>
            </w:r>
          </w:p>
        </w:tc>
        <w:tc>
          <w:tcPr>
            <w:tcW w:type="dxa" w:w="11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High (volume)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Offline TA/TO</w:t>
            </w:r>
          </w:p>
        </w:tc>
        <w:tc>
          <w:tcPr>
            <w:tcW w:type="dxa" w:w="1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24,219</w:t>
            </w:r>
          </w:p>
        </w:tc>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5,085</w:t>
            </w:r>
          </w:p>
        </w:tc>
        <w:tc>
          <w:tcPr>
            <w:tcW w:type="dxa" w:w="1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21%</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€107</w:t>
            </w:r>
          </w:p>
        </w:tc>
        <w:tc>
          <w:tcPr>
            <w:tcW w:type="dxa" w:w="11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Medium</w:t>
            </w:r>
          </w:p>
        </w:tc>
      </w:tr>
      <w:tr>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Corporate</w:t>
            </w:r>
          </w:p>
        </w:tc>
        <w:tc>
          <w:tcPr>
            <w:tcW w:type="dxa" w:w="1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5,439</w:t>
            </w:r>
          </w:p>
        </w:tc>
        <w:tc>
          <w:tcPr>
            <w:tcW w:type="dxa" w:w="18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979</w:t>
            </w:r>
          </w:p>
        </w:tc>
        <w:tc>
          <w:tcPr>
            <w:tcW w:type="dxa" w:w="14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18%</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€118</w:t>
            </w:r>
          </w:p>
        </w:tc>
        <w:tc>
          <w:tcPr>
            <w:tcW w:type="dxa" w:w="11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Medium</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Groups</w:t>
            </w:r>
          </w:p>
        </w:tc>
        <w:tc>
          <w:tcPr>
            <w:tcW w:type="dxa" w:w="1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19,811</w:t>
            </w:r>
          </w:p>
        </w:tc>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2,377</w:t>
            </w:r>
          </w:p>
        </w:tc>
        <w:tc>
          <w:tcPr>
            <w:tcW w:type="dxa" w:w="1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12%</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€85</w:t>
            </w:r>
          </w:p>
        </w:tc>
        <w:tc>
          <w:tcPr>
            <w:tcW w:type="dxa" w:w="11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Low</w:t>
            </w:r>
          </w:p>
        </w:tc>
      </w:tr>
    </w:tbl>
    <w:p>
      <w:pPr>
        <w:spacing w:after="200"/>
      </w:pPr>
    </w:p>
    <w:p>
      <w:pPr>
        <w:pStyle w:val="Heading2"/>
        <w:spacing w:after="160" w:before="240"/>
      </w:pPr>
      <w:r>
        <w:rPr>
          <w:rFonts w:ascii="Calibri" w:cs="Calibri" w:eastAsia="Calibri" w:hAnsi="Calibri"/>
          <w:b/>
          <w:bCs/>
          <w:color w:val="1a1a2e"/>
          <w:sz w:val="28"/>
          <w:szCs w:val="28"/>
        </w:rPr>
        <w:t xml:space="preserve">4.4 Recommendations</w:t>
      </w:r>
    </w:p>
    <w:p>
      <w:pPr>
        <w:pStyle w:val="ListParagraph"/>
        <w:numPr>
          <w:ilvl w:val="0"/>
          <w:numId w:val="2"/>
        </w:numPr>
        <w:spacing w:after="100"/>
      </w:pPr>
      <w:r>
        <w:rPr>
          <w:rFonts w:ascii="Calibri" w:cs="Calibri" w:eastAsia="Calibri" w:hAnsi="Calibri"/>
          <w:color w:val="2c3e50"/>
          <w:sz w:val="22"/>
          <w:szCs w:val="22"/>
        </w:rPr>
        <w:t xml:space="preserve">Targeted email campaigns to Direct and Online TA bookers offering HB/FB upgrades at a 15–20% discount relative to on-arrival price</w:t>
      </w:r>
    </w:p>
    <w:p>
      <w:pPr>
        <w:pStyle w:val="ListParagraph"/>
        <w:numPr>
          <w:ilvl w:val="0"/>
          <w:numId w:val="2"/>
        </w:numPr>
        <w:spacing w:after="100"/>
      </w:pPr>
      <w:r>
        <w:rPr>
          <w:rFonts w:ascii="Calibri" w:cs="Calibri" w:eastAsia="Calibri" w:hAnsi="Calibri"/>
          <w:color w:val="2c3e50"/>
          <w:sz w:val="22"/>
          <w:szCs w:val="22"/>
        </w:rPr>
        <w:t xml:space="preserve">Introduce a dynamic upsell prompt 30 days before arrival for bookings with no meal plan (highest conversion window)</w:t>
      </w:r>
    </w:p>
    <w:p>
      <w:pPr>
        <w:pStyle w:val="ListParagraph"/>
        <w:numPr>
          <w:ilvl w:val="0"/>
          <w:numId w:val="2"/>
        </w:numPr>
        <w:spacing w:after="100"/>
      </w:pPr>
      <w:r>
        <w:rPr>
          <w:rFonts w:ascii="Calibri" w:cs="Calibri" w:eastAsia="Calibri" w:hAnsi="Calibri"/>
          <w:color w:val="2c3e50"/>
          <w:sz w:val="22"/>
          <w:szCs w:val="22"/>
        </w:rPr>
        <w:t xml:space="preserve">Price premium packages competitively for July–September when ADR elasticity is highest</w:t>
      </w:r>
    </w:p>
    <w:p>
      <w:pPr>
        <w:pStyle w:val="ListParagraph"/>
        <w:numPr>
          <w:ilvl w:val="0"/>
          <w:numId w:val="2"/>
        </w:numPr>
        <w:spacing w:after="100"/>
      </w:pPr>
      <w:r>
        <w:rPr>
          <w:rFonts w:ascii="Calibri" w:cs="Calibri" w:eastAsia="Calibri" w:hAnsi="Calibri"/>
          <w:color w:val="2c3e50"/>
          <w:sz w:val="22"/>
          <w:szCs w:val="22"/>
        </w:rPr>
        <w:t xml:space="preserve">Loyalty tier cross-sell: Gold and Platinum guests have higher lifetime spend; offer complimentary first-night Full Board as a tier benefit</w:t>
      </w:r>
    </w:p>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5. Business Objective 2 — Improve Traveler Satisfaction &amp; Reduce Friction</w:t>
      </w:r>
    </w:p>
    <w:p>
      <w:pPr>
        <w:pStyle w:val="Heading2"/>
        <w:spacing w:after="160" w:before="240"/>
      </w:pPr>
      <w:r>
        <w:rPr>
          <w:rFonts w:ascii="Calibri" w:cs="Calibri" w:eastAsia="Calibri" w:hAnsi="Calibri"/>
          <w:b/>
          <w:bCs/>
          <w:color w:val="1a1a2e"/>
          <w:sz w:val="28"/>
          <w:szCs w:val="28"/>
        </w:rPr>
        <w:t xml:space="preserve">5.1 Problem Statement</w:t>
      </w:r>
    </w:p>
    <w:p>
      <w:pPr>
        <w:spacing w:after="140"/>
      </w:pPr>
      <w:r>
        <w:rPr>
          <w:rFonts w:ascii="Calibri" w:cs="Calibri" w:eastAsia="Calibri" w:hAnsi="Calibri"/>
          <w:color w:val="2c3e50"/>
          <w:sz w:val="22"/>
          <w:szCs w:val="22"/>
        </w:rPr>
        <w:t xml:space="preserve">With an overall cancellation rate of 37.1% and an NPS in the passive zone (6.8 average), the hotel chain faces significant revenue leakage and retention challenges. Understanding the drivers of cancellation and dissatisfaction allows operational and commercial interventions that reduce friction at the booking and pre-stay stages.</w:t>
      </w:r>
    </w:p>
    <w:p>
      <w:pPr>
        <w:spacing w:after="200"/>
      </w:pPr>
    </w:p>
    <w:p>
      <w:pPr>
        <w:pStyle w:val="Heading2"/>
        <w:spacing w:after="160" w:before="240"/>
      </w:pPr>
      <w:r>
        <w:rPr>
          <w:rFonts w:ascii="Calibri" w:cs="Calibri" w:eastAsia="Calibri" w:hAnsi="Calibri"/>
          <w:b/>
          <w:bCs/>
          <w:color w:val="1a1a2e"/>
          <w:sz w:val="28"/>
          <w:szCs w:val="28"/>
        </w:rPr>
        <w:t xml:space="preserve">5.2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Overall Cancel Rate</w:t>
            </w:r>
          </w:p>
          <w:p>
            <w:pPr>
              <w:spacing w:after="40"/>
            </w:pPr>
            <w:r>
              <w:rPr>
                <w:rFonts w:ascii="Calibri" w:cs="Calibri" w:eastAsia="Calibri" w:hAnsi="Calibri"/>
                <w:b/>
                <w:bCs/>
                <w:color w:val="1a56db"/>
                <w:sz w:val="28"/>
                <w:szCs w:val="28"/>
              </w:rPr>
              <w:t xml:space="preserve">37.1%</w:t>
            </w:r>
          </w:p>
          <w:p>
            <w:pPr>
              <w:spacing w:after="0"/>
            </w:pPr>
            <w:r>
              <w:rPr>
                <w:rFonts w:ascii="Calibri" w:cs="Calibri" w:eastAsia="Calibri" w:hAnsi="Calibri"/>
                <w:color w:val="666666"/>
                <w:sz w:val="16"/>
                <w:szCs w:val="16"/>
              </w:rPr>
              <w:t xml:space="preserve">City Hotel: 41.7%</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91+ Day Lead Cancel</w:t>
            </w:r>
          </w:p>
          <w:p>
            <w:pPr>
              <w:spacing w:after="40"/>
            </w:pPr>
            <w:r>
              <w:rPr>
                <w:rFonts w:ascii="Calibri" w:cs="Calibri" w:eastAsia="Calibri" w:hAnsi="Calibri"/>
                <w:b/>
                <w:bCs/>
                <w:color w:val="1a56db"/>
                <w:sz w:val="28"/>
                <w:szCs w:val="28"/>
              </w:rPr>
              <w:t xml:space="preserve">52%+</w:t>
            </w:r>
          </w:p>
          <w:p>
            <w:pPr>
              <w:spacing w:after="0"/>
            </w:pPr>
            <w:r>
              <w:rPr>
                <w:rFonts w:ascii="Calibri" w:cs="Calibri" w:eastAsia="Calibri" w:hAnsi="Calibri"/>
                <w:color w:val="666666"/>
                <w:sz w:val="16"/>
                <w:szCs w:val="16"/>
              </w:rPr>
              <w:t xml:space="preserve">Primary risk window</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Avg NPS Score</w:t>
            </w:r>
          </w:p>
          <w:p>
            <w:pPr>
              <w:spacing w:after="40"/>
            </w:pPr>
            <w:r>
              <w:rPr>
                <w:rFonts w:ascii="Calibri" w:cs="Calibri" w:eastAsia="Calibri" w:hAnsi="Calibri"/>
                <w:b/>
                <w:bCs/>
                <w:color w:val="1a56db"/>
                <w:sz w:val="28"/>
                <w:szCs w:val="28"/>
              </w:rPr>
              <w:t xml:space="preserve">6.8</w:t>
            </w:r>
          </w:p>
          <w:p>
            <w:pPr>
              <w:spacing w:after="0"/>
            </w:pPr>
            <w:r>
              <w:rPr>
                <w:rFonts w:ascii="Calibri" w:cs="Calibri" w:eastAsia="Calibri" w:hAnsi="Calibri"/>
                <w:color w:val="666666"/>
                <w:sz w:val="16"/>
                <w:szCs w:val="16"/>
              </w:rPr>
              <w:t xml:space="preserve">Target: 8+ (Promoter zone)</w:t>
            </w:r>
          </w:p>
        </w:tc>
        <w:tc>
          <w:tcPr>
            <w:tcW w:type="dxa" w:w="2340"/>
            <w:tcBorders>
              <w:top w:val="single" w:color="c8d6e5" w:sz="1"/>
              <w:left w:val="single" w:color="c8d6e5" w:sz="1"/>
              <w:bottom w:val="single" w:color="c8d6e5" w:sz="1"/>
              <w:right w:val="single" w:color="c8d6e5" w:sz="1"/>
            </w:tcBorders>
            <w:shd w:fill="e8f0fe" w:val="clear"/>
            <w:tcMar>
              <w:top w:type="dxa" w:w="120"/>
              <w:left w:type="dxa" w:w="160"/>
              <w:bottom w:type="dxa" w:w="120"/>
              <w:right w:type="dxa" w:w="160"/>
            </w:tcMar>
          </w:tcPr>
          <w:p>
            <w:pPr>
              <w:spacing w:after="40"/>
            </w:pPr>
            <w:r>
              <w:rPr>
                <w:rFonts w:ascii="Calibri" w:cs="Calibri" w:eastAsia="Calibri" w:hAnsi="Calibri"/>
                <w:b/>
                <w:bCs/>
                <w:color w:val="5a6a7e"/>
                <w:sz w:val="16"/>
                <w:szCs w:val="16"/>
              </w:rPr>
              <w:t xml:space="preserve">Repeat Guest Rate</w:t>
            </w:r>
          </w:p>
          <w:p>
            <w:pPr>
              <w:spacing w:after="40"/>
            </w:pPr>
            <w:r>
              <w:rPr>
                <w:rFonts w:ascii="Calibri" w:cs="Calibri" w:eastAsia="Calibri" w:hAnsi="Calibri"/>
                <w:b/>
                <w:bCs/>
                <w:color w:val="1a56db"/>
                <w:sz w:val="28"/>
                <w:szCs w:val="28"/>
              </w:rPr>
              <w:t xml:space="preserve">3.2%</w:t>
            </w:r>
          </w:p>
          <w:p>
            <w:pPr>
              <w:spacing w:after="0"/>
            </w:pPr>
            <w:r>
              <w:rPr>
                <w:rFonts w:ascii="Calibri" w:cs="Calibri" w:eastAsia="Calibri" w:hAnsi="Calibri"/>
                <w:color w:val="666666"/>
                <w:sz w:val="16"/>
                <w:szCs w:val="16"/>
              </w:rPr>
              <w:t xml:space="preserve">Cancel 4× less often</w:t>
            </w:r>
          </w:p>
        </w:tc>
      </w:tr>
    </w:tbl>
    <w:p>
      <w:pPr>
        <w:spacing w:after="200"/>
      </w:pPr>
    </w:p>
    <w:p>
      <w:pPr>
        <w:pStyle w:val="Heading2"/>
        <w:spacing w:after="160" w:before="240"/>
      </w:pPr>
      <w:r>
        <w:rPr>
          <w:rFonts w:ascii="Calibri" w:cs="Calibri" w:eastAsia="Calibri" w:hAnsi="Calibri"/>
          <w:b/>
          <w:bCs/>
          <w:color w:val="1a1a2e"/>
          <w:sz w:val="28"/>
          <w:szCs w:val="28"/>
        </w:rPr>
        <w:t xml:space="preserve">5.3 Cancellation by Lead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Lead Time Bucket</w:t>
            </w:r>
          </w:p>
        </w:tc>
        <w:tc>
          <w:tcPr>
            <w:tcW w:type="dxa" w:w="2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City Hotel Cancel %</w:t>
            </w:r>
          </w:p>
        </w:tc>
        <w:tc>
          <w:tcPr>
            <w:tcW w:type="dxa" w:w="2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Resort Hotel Cancel %</w:t>
            </w:r>
          </w:p>
        </w:tc>
        <w:tc>
          <w:tcPr>
            <w:tcW w:type="dxa" w:w="23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Risk Level</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0–7 days</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12%</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2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Low</w:t>
            </w:r>
          </w:p>
        </w:tc>
      </w:tr>
      <w:tr>
        <w:tc>
          <w:tcPr>
            <w:tcW w:type="dxa" w:w="2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8–30 days</w:t>
            </w:r>
          </w:p>
        </w:tc>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24%</w:t>
            </w:r>
          </w:p>
        </w:tc>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18%</w:t>
            </w:r>
          </w:p>
        </w:tc>
        <w:tc>
          <w:tcPr>
            <w:tcW w:type="dxa" w:w="23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Moderate</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31–90 days</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38%</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31%</w:t>
            </w:r>
          </w:p>
        </w:tc>
        <w:tc>
          <w:tcPr>
            <w:tcW w:type="dxa" w:w="2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High</w:t>
            </w:r>
          </w:p>
        </w:tc>
      </w:tr>
      <w:tr>
        <w:tc>
          <w:tcPr>
            <w:tcW w:type="dxa" w:w="2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91–180 days</w:t>
            </w:r>
          </w:p>
        </w:tc>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52%</w:t>
            </w:r>
          </w:p>
        </w:tc>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47%</w:t>
            </w:r>
          </w:p>
        </w:tc>
        <w:tc>
          <w:tcPr>
            <w:tcW w:type="dxa" w:w="23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Very High</w:t>
            </w:r>
          </w:p>
        </w:tc>
      </w:tr>
      <w:tr>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180+ days</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58%</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55%</w:t>
            </w:r>
          </w:p>
        </w:tc>
        <w:tc>
          <w:tcPr>
            <w:tcW w:type="dxa" w:w="2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Critical</w:t>
            </w:r>
          </w:p>
        </w:tc>
      </w:tr>
    </w:tbl>
    <w:p>
      <w:pPr>
        <w:spacing w:after="200"/>
      </w:pPr>
    </w:p>
    <w:p>
      <w:pPr>
        <w:pStyle w:val="Heading2"/>
        <w:spacing w:after="160" w:before="240"/>
      </w:pPr>
      <w:r>
        <w:rPr>
          <w:rFonts w:ascii="Calibri" w:cs="Calibri" w:eastAsia="Calibri" w:hAnsi="Calibri"/>
          <w:b/>
          <w:bCs/>
          <w:color w:val="1a1a2e"/>
          <w:sz w:val="28"/>
          <w:szCs w:val="28"/>
        </w:rPr>
        <w:t xml:space="preserve">5.4 Recommendations</w:t>
      </w:r>
    </w:p>
    <w:p>
      <w:pPr>
        <w:pStyle w:val="ListParagraph"/>
        <w:numPr>
          <w:ilvl w:val="0"/>
          <w:numId w:val="2"/>
        </w:numPr>
        <w:spacing w:after="100"/>
      </w:pPr>
      <w:r>
        <w:rPr>
          <w:rFonts w:ascii="Calibri" w:cs="Calibri" w:eastAsia="Calibri" w:hAnsi="Calibri"/>
          <w:color w:val="2c3e50"/>
          <w:sz w:val="22"/>
          <w:szCs w:val="22"/>
        </w:rPr>
        <w:t xml:space="preserve">Introduce a soft-lock policy at 90 days: require a partial non-refundable deposit to reduce speculative long-lead bookings</w:t>
      </w:r>
    </w:p>
    <w:p>
      <w:pPr>
        <w:pStyle w:val="ListParagraph"/>
        <w:numPr>
          <w:ilvl w:val="0"/>
          <w:numId w:val="2"/>
        </w:numPr>
        <w:spacing w:after="100"/>
      </w:pPr>
      <w:r>
        <w:rPr>
          <w:rFonts w:ascii="Calibri" w:cs="Calibri" w:eastAsia="Calibri" w:hAnsi="Calibri"/>
          <w:color w:val="2c3e50"/>
          <w:sz w:val="22"/>
          <w:szCs w:val="22"/>
        </w:rPr>
        <w:t xml:space="preserve">Deploy a pre-arrival re-engagement email at the 60-day and 30-day marks to confirm and upsell — reduces no-show intent</w:t>
      </w:r>
    </w:p>
    <w:p>
      <w:pPr>
        <w:pStyle w:val="ListParagraph"/>
        <w:numPr>
          <w:ilvl w:val="0"/>
          <w:numId w:val="2"/>
        </w:numPr>
        <w:spacing w:after="100"/>
      </w:pPr>
      <w:r>
        <w:rPr>
          <w:rFonts w:ascii="Calibri" w:cs="Calibri" w:eastAsia="Calibri" w:hAnsi="Calibri"/>
          <w:color w:val="2c3e50"/>
          <w:sz w:val="22"/>
          <w:szCs w:val="22"/>
        </w:rPr>
        <w:t xml:space="preserve">Launch a city hotel loyalty program: repeat guests cancel 4× less and generate 10% higher ADR</w:t>
      </w:r>
    </w:p>
    <w:p>
      <w:pPr>
        <w:pStyle w:val="ListParagraph"/>
        <w:numPr>
          <w:ilvl w:val="0"/>
          <w:numId w:val="2"/>
        </w:numPr>
        <w:spacing w:after="100"/>
      </w:pPr>
      <w:r>
        <w:rPr>
          <w:rFonts w:ascii="Calibri" w:cs="Calibri" w:eastAsia="Calibri" w:hAnsi="Calibri"/>
          <w:color w:val="2c3e50"/>
          <w:sz w:val="22"/>
          <w:szCs w:val="22"/>
        </w:rPr>
        <w:t xml:space="preserve">Add a structured post-stay NPS survey (currently simulated); route Detractor responses to a service recovery team within 48 hours</w:t>
      </w:r>
    </w:p>
    <w:p>
      <w:pPr>
        <w:pStyle w:val="ListParagraph"/>
        <w:numPr>
          <w:ilvl w:val="0"/>
          <w:numId w:val="2"/>
        </w:numPr>
        <w:spacing w:after="100"/>
      </w:pPr>
      <w:r>
        <w:rPr>
          <w:rFonts w:ascii="Calibri" w:cs="Calibri" w:eastAsia="Calibri" w:hAnsi="Calibri"/>
          <w:color w:val="2c3e50"/>
          <w:sz w:val="22"/>
          <w:szCs w:val="22"/>
        </w:rPr>
        <w:t xml:space="preserve">Reduce waiting list friction by improving real-time inventory visibility in the booking engine</w:t>
      </w:r>
    </w:p>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6. Challenges &amp; How They Were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Challenge</w:t>
            </w:r>
          </w:p>
        </w:tc>
        <w:tc>
          <w:tcPr>
            <w:tcW w:type="dxa" w:w="30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Why It Arose</w:t>
            </w:r>
          </w:p>
        </w:tc>
        <w:tc>
          <w:tcPr>
            <w:tcW w:type="dxa" w:w="41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Resolution</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Arrival date reconstruction</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Date stored in 3 separate columns (year, month name, day)</w:t>
            </w:r>
          </w:p>
        </w:tc>
        <w:tc>
          <w:tcPr>
            <w:tcW w:type="dxa" w:w="41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PySpark UDF to map month names to numbers, then concat + to_date()</w:t>
            </w:r>
          </w:p>
        </w:tc>
      </w:tr>
      <w:tr>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NULL handling in children/company columns</w:t>
            </w:r>
          </w:p>
        </w:tc>
        <w:tc>
          <w:tcPr>
            <w:tcW w:type="dxa" w:w="30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Kaggle dataset has NULLs in numeric fields</w:t>
            </w:r>
          </w:p>
        </w:tc>
        <w:tc>
          <w:tcPr>
            <w:tcW w:type="dxa" w:w="41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COALESCE to 0 for children; cast agent/company to string, filter in analytics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No feedback data in Kaggle dataset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Brief required NPS / satisfaction output</w:t>
            </w:r>
          </w:p>
        </w:tc>
        <w:tc>
          <w:tcPr>
            <w:tcW w:type="dxa" w:w="41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Generated realistic fake_feedback_scores.csv with seed-controlled distributions</w:t>
            </w:r>
          </w:p>
        </w:tc>
      </w:tr>
      <w:tr>
        <w:tc>
          <w:tcPr>
            <w:tcW w:type="dxa" w:w="2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Snowflake + Spark integration</w:t>
            </w:r>
          </w:p>
        </w:tc>
        <w:tc>
          <w:tcPr>
            <w:tcW w:type="dxa" w:w="30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Two systems with different auth models</w:t>
            </w:r>
          </w:p>
        </w:tc>
        <w:tc>
          <w:tcPr>
            <w:tcW w:type="dxa" w:w="41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Snowflake Spark connector via JDBC; write_pandas for direct connector path</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Avoiding LLM-generated data</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Brief explicitly prohibits LLM data</w:t>
            </w:r>
          </w:p>
        </w:tc>
        <w:tc>
          <w:tcPr>
            <w:tcW w:type="dxa" w:w="41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All enrichment data from Python random with fixed seed; clearly documented</w:t>
            </w:r>
          </w:p>
        </w:tc>
      </w:tr>
    </w:tbl>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7.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tcW w:type="dxa" w:w="120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4560"/>
            <w:tcBorders>
              <w:top w:val="single" w:color="c8d6e5" w:sz="1"/>
              <w:left w:val="single" w:color="c8d6e5" w:sz="1"/>
              <w:bottom w:val="single" w:color="c8d6e5" w:sz="1"/>
              <w:right w:val="single" w:color="c8d6e5" w:sz="1"/>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data/hotel_bookings.csv</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Input</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Primary Kaggle dataset (download separately)</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data/generate_fake_data.py</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Code</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Synthetic data generator (no LLM)</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data/schema.md</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Docs</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Full field definitions and BO mapping</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etl/ingest_to_snowflake.py</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Code</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CSV → Snowflake RAW ingestion</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etl/spark_transform.py</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Code</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PySpark RAW → CURATED transformations</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sql/snowflake/01_setup_database.sql</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SQL</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Snowflake DB, warehouse, stage creation</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sql/snowflake/02_create_tables.sql</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SQL</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All table DDL (RAW/CURATED/ANALYTICS)</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sql/snowflake/03_bo1_premium_revenue.sql</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SQL</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BO-1 analysis queries + JSON export</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sql/snowflake/04_bo2_satisfaction.sql</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SQL</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BO-2 analysis queries + JSON export</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tests/test_data_quality.py</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Tests</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37 data quality assertions</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tests/test_pipeline.py</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Tests</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Pipeline + downstream update tests</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dashboard/dashboard.html</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Dashboard</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Self-contained HTML dashboard (3 tabs)</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docs/report.docx</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Report</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This document</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submission.txt</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Submission</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Submission summary and checklist</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requirements.txt</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Config</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Python dependencies</w:t>
            </w:r>
          </w:p>
        </w:tc>
      </w:tr>
      <w:tr>
        <w:tc>
          <w:tcPr>
            <w:tcW w:type="dxa" w:w="36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README.md</w:t>
            </w:r>
          </w:p>
        </w:tc>
        <w:tc>
          <w:tcPr>
            <w:tcW w:type="dxa" w:w="120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Docs</w:t>
            </w:r>
          </w:p>
        </w:tc>
        <w:tc>
          <w:tcPr>
            <w:tcW w:type="dxa" w:w="4560"/>
            <w:tcBorders>
              <w:top w:val="single" w:color="c8d6e5" w:sz="1"/>
              <w:left w:val="single" w:color="c8d6e5" w:sz="1"/>
              <w:bottom w:val="single" w:color="c8d6e5" w:sz="1"/>
              <w:right w:val="single" w:color="c8d6e5" w:sz="1"/>
            </w:tcBorders>
            <w:shd w:fill="f7faff" w:val="clear"/>
            <w:tcMar>
              <w:top w:type="dxa" w:w="80"/>
              <w:left w:type="dxa" w:w="120"/>
              <w:bottom w:type="dxa" w:w="80"/>
              <w:right w:type="dxa" w:w="120"/>
            </w:tcMar>
          </w:tcPr>
          <w:p>
            <w:r>
              <w:rPr>
                <w:rFonts w:ascii="Calibri" w:cs="Calibri" w:eastAsia="Calibri" w:hAnsi="Calibri"/>
                <w:color w:val="2c3e50"/>
                <w:sz w:val="20"/>
                <w:szCs w:val="20"/>
              </w:rPr>
              <w:t xml:space="preserve">Full setup and run guide</w:t>
            </w:r>
          </w:p>
        </w:tc>
      </w:tr>
      <w:tr>
        <w:tc>
          <w:tcPr>
            <w:tcW w:type="dxa" w:w="3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screenshots/</w:t>
            </w:r>
          </w:p>
        </w:tc>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Evidence</w:t>
            </w:r>
          </w:p>
        </w:tc>
        <w:tc>
          <w:tcPr>
            <w:tcW w:type="dxa" w:w="4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Milestone screenshots (git-tracked)</w:t>
            </w:r>
          </w:p>
        </w:tc>
      </w:tr>
    </w:tbl>
    <w:p>
      <w:pPr>
        <w:spacing w:after="200"/>
      </w:pPr>
    </w:p>
    <w:p>
      <w:pPr>
        <w:pStyle w:val="Heading1"/>
        <w:pBdr>
          <w:bottom w:val="single" w:color="1a56db" w:sz="4" w:space="4"/>
        </w:pBdr>
        <w:spacing w:after="160" w:before="360"/>
      </w:pPr>
      <w:r>
        <w:rPr>
          <w:rFonts w:ascii="Calibri" w:cs="Calibri" w:eastAsia="Calibri" w:hAnsi="Calibri"/>
          <w:b/>
          <w:bCs/>
          <w:color w:val="1a1a2e"/>
          <w:sz w:val="36"/>
          <w:szCs w:val="36"/>
        </w:rPr>
        <w:t xml:space="preserve">8. Data Citation</w:t>
      </w:r>
    </w:p>
    <w:p>
      <w:pPr>
        <w:spacing w:after="140"/>
      </w:pPr>
      <w:r>
        <w:rPr>
          <w:rFonts w:ascii="Calibri" w:cs="Calibri" w:eastAsia="Calibri" w:hAnsi="Calibri"/>
          <w:i/>
          <w:iCs/>
          <w:color w:val="2c3e50"/>
          <w:sz w:val="22"/>
          <w:szCs w:val="22"/>
        </w:rPr>
        <w:t xml:space="preserve">Antonio, A., de Almeida Rodrigues, A., &amp; Nunes, L. (2019). Hotel booking demand datasets. Data in Brief, 22, 41–49. https://doi.org/10.1016/j.dib.2018.11.126</w:t>
      </w:r>
    </w:p>
    <w:p>
      <w:pPr>
        <w:spacing w:after="200"/>
      </w:pPr>
    </w:p>
    <w:p>
      <w:pPr>
        <w:spacing w:after="140"/>
      </w:pPr>
      <w:r>
        <w:rPr>
          <w:rFonts w:ascii="Calibri" w:cs="Calibri" w:eastAsia="Calibri" w:hAnsi="Calibri"/>
          <w:color w:val="1a56db"/>
          <w:sz w:val="22"/>
          <w:szCs w:val="22"/>
        </w:rPr>
        <w:t xml:space="preserve">Kaggle dataset URL: https://www.kaggle.com/datasets/mojtaba142/hotel-booking</w:t>
      </w:r>
    </w:p>
    <w:p>
      <w:pPr>
        <w:spacing w:after="200"/>
      </w:pPr>
    </w:p>
    <w:p>
      <w:pPr>
        <w:spacing w:after="140"/>
      </w:pPr>
      <w:r>
        <w:rPr>
          <w:rFonts w:ascii="Calibri" w:cs="Calibri" w:eastAsia="Calibri" w:hAnsi="Calibri"/>
          <w:color w:val="2c3e50"/>
          <w:sz w:val="22"/>
          <w:szCs w:val="22"/>
        </w:rPr>
        <w:t xml:space="preserve">All synthetic enrichment data was generated programmatically via data/generate_fake_data.py using Python standard library only (random module, seed=42). No LLM-generated data is used anywhere in this project.</w:t>
      </w:r>
    </w:p>
    <w:p>
      <w:pPr>
        <w:spacing w:after="200"/>
      </w:pPr>
    </w:p>
    <w:sectPr>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a1a2e"/>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2026-06-16T22:32:04.734Z</dcterms:created>
  <dcterms:modified xsi:type="dcterms:W3CDTF">2026-06-16T22:32:04.735Z</dcterms:modified>
</cp:coreProperties>
</file>

<file path=docProps/custom.xml><?xml version="1.0" encoding="utf-8"?>
<Properties xmlns="http://schemas.openxmlformats.org/officeDocument/2006/custom-properties" xmlns:vt="http://schemas.openxmlformats.org/officeDocument/2006/docPropsVTypes"/>
</file>