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AutoLoc — Ateliers 5 et 6</w:t>
      </w:r>
    </w:p>
    <w:p>
      <w:pPr>
        <w:jc w:val="center"/>
      </w:pPr>
      <w:r>
        <w:rPr>
          <w:b/>
          <w:sz w:val="30"/>
        </w:rPr>
        <w:t>API REST, Swagger et principes SOLID</w:t>
      </w:r>
    </w:p>
    <w:p>
      <w:pPr>
        <w:jc w:val="center"/>
      </w:pPr>
      <w:r>
        <w:rPr>
          <w:i/>
        </w:rPr>
        <w:t>Atelier 6 choisi : Mission 1 — Le simulateur de prix</w:t>
      </w:r>
    </w:p>
    <w:p>
      <w:pPr>
        <w:pStyle w:val="Heading1"/>
      </w:pPr>
      <w:r>
        <w:t>1. Résumé des travaux réalisés</w:t>
      </w:r>
    </w:p>
    <w:p>
      <w:r>
        <w:t>Le projet fourni a été conservé et complété dans son package réel `tn.esprit.mohamedmounibkrimicce11`. Les contrôleurs REST sont présents pour les neuf entités demandées à l’Atelier 5 : Agence, Véhicule, Client, Employé, Équipement, Réservation, Contrat, Maintenance et Paiement. Paiement reste en lecture seule conformément au TP. La documentation OpenAPI et les notes de l’API ont été complétées, les erreurs de requête et conflits d’intégrité disposent d’un traitement global, et une relation JSON cyclique `Reservation` ↔ `Contrat` est neutralisée.</w:t>
      </w:r>
    </w:p>
    <w:p>
      <w:r>
        <w:t>Pour rendre la vérification plus facile, un profil `demo` utilisant H2 en mémoire et un petit jeu de données de départ ont été ajoutés. Le profil MySQL habituel reste disponible. Une collection Postman teste les routes représentatives, les cas d’erreur, la cascade Contrat → Paiement et la nouvelle simulation tarifaire.</w:t>
      </w:r>
    </w:p>
    <w:p>
      <w:pPr>
        <w:pStyle w:val="Heading1"/>
      </w:pPr>
      <w:r>
        <w:t>2. Accès rapide</w:t>
      </w:r>
    </w:p>
    <w:p>
      <w:pPr>
        <w:pStyle w:val="ListBullet"/>
        <w:spacing w:after="20"/>
      </w:pPr>
      <w:r>
        <w:t>Lancer en mode démonstration : `mvn spring-boot:run -Dspring-boot.run.profiles=demo` depuis le dossier du projet, ou sélectionner le profil `demo` dans la configuration Run d’IntelliJ.</w:t>
      </w:r>
    </w:p>
    <w:p>
      <w:pPr>
        <w:pStyle w:val="ListBullet"/>
        <w:spacing w:after="20"/>
      </w:pPr>
      <w:r>
        <w:t>Swagger UI : `http://localhost:8081/api/swagger-ui.html`.</w:t>
      </w:r>
    </w:p>
    <w:p>
      <w:pPr>
        <w:pStyle w:val="ListBullet"/>
        <w:spacing w:after="20"/>
      </w:pPr>
      <w:r>
        <w:t>OpenAPI JSON : `http://localhost:8081/api/v3/api-docs`.</w:t>
      </w:r>
    </w:p>
    <w:p>
      <w:pPr>
        <w:pStyle w:val="ListBullet"/>
        <w:spacing w:after="20"/>
      </w:pPr>
      <w:r>
        <w:t>Réservations de démonstration : `GET http://localhost:8081/api/reservations`; prendre le champ `idReservation` de la réponse.</w:t>
      </w:r>
    </w:p>
    <w:p>
      <w:pPr>
        <w:pStyle w:val="ListBullet"/>
        <w:spacing w:after="20"/>
      </w:pPr>
      <w:r>
        <w:t>Importer `postman/AutoLoc-Ateliers-5-6.postman_collection.json` et, facultativement, `postman/AutoLoc-local.postman_environment.json` dans Postman.</w:t>
      </w:r>
    </w:p>
    <w:p>
      <w:pPr>
        <w:pStyle w:val="Heading1"/>
      </w:pPr>
      <w:r>
        <w:t>3. Atelier 5 — endpoints et conventions REST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3057"/>
          </w:tcPr>
          <w:p>
            <w:pPr>
              <w:spacing w:after="0"/>
            </w:pPr>
            <w:r/>
            <w:r>
              <w:rPr>
                <w:rFonts w:ascii="Arial" w:hAnsi="Arial"/>
                <w:b/>
                <w:color w:val="FFFFFF"/>
                <w:sz w:val="16"/>
              </w:rPr>
              <w:t>Entités</w:t>
            </w:r>
          </w:p>
        </w:tc>
        <w:tc>
          <w:tcPr>
            <w:tcW w:type="dxa" w:w="2556"/>
            <w:vAlign w:val="center"/>
            <w:shd w:fill="1F3057"/>
          </w:tcPr>
          <w:p>
            <w:pPr>
              <w:spacing w:after="0"/>
            </w:pPr>
            <w:r/>
            <w:r>
              <w:rPr>
                <w:rFonts w:ascii="Arial" w:hAnsi="Arial"/>
                <w:b/>
                <w:color w:val="FFFFFF"/>
                <w:sz w:val="16"/>
              </w:rPr>
              <w:t>GET liste / détail</w:t>
            </w:r>
          </w:p>
        </w:tc>
        <w:tc>
          <w:tcPr>
            <w:tcW w:type="dxa" w:w="2556"/>
            <w:vAlign w:val="center"/>
            <w:shd w:fill="1F3057"/>
          </w:tcPr>
          <w:p>
            <w:pPr>
              <w:spacing w:after="0"/>
            </w:pPr>
            <w:r/>
            <w:r>
              <w:rPr>
                <w:rFonts w:ascii="Arial" w:hAnsi="Arial"/>
                <w:b/>
                <w:color w:val="FFFFFF"/>
                <w:sz w:val="16"/>
              </w:rPr>
              <w:t>POST / PUT</w:t>
            </w:r>
          </w:p>
        </w:tc>
        <w:tc>
          <w:tcPr>
            <w:tcW w:type="dxa" w:w="2556"/>
            <w:vAlign w:val="center"/>
            <w:shd w:fill="1F3057"/>
          </w:tcPr>
          <w:p>
            <w:pPr>
              <w:spacing w:after="0"/>
            </w:pPr>
            <w:r/>
            <w:r>
              <w:rPr>
                <w:rFonts w:ascii="Arial" w:hAnsi="Arial"/>
                <w:b/>
                <w:color w:val="FFFFFF"/>
                <w:sz w:val="16"/>
              </w:rPr>
              <w:t>DELETE</w:t>
            </w:r>
          </w:p>
        </w:tc>
      </w:tr>
      <w:tr>
        <w:tc>
          <w:tcPr>
            <w:tcW w:type="dxa" w:w="2556"/>
            <w:vAlign w:val="center"/>
          </w:tcPr>
          <w:p>
            <w:pPr>
              <w:spacing w:after="0"/>
            </w:pPr>
            <w:r/>
            <w:r>
              <w:rPr>
                <w:rFonts w:ascii="Arial" w:hAnsi="Arial"/>
                <w:b/>
                <w:sz w:val="15"/>
              </w:rPr>
              <w:t>Agence</w:t>
            </w:r>
          </w:p>
        </w:tc>
        <w:tc>
          <w:tcPr>
            <w:tcW w:type="dxa" w:w="2556"/>
            <w:vAlign w:val="center"/>
          </w:tcPr>
          <w:p>
            <w:pPr>
              <w:spacing w:after="0"/>
            </w:pPr>
            <w:r/>
            <w:r>
              <w:rPr>
                <w:rFonts w:ascii="Arial" w:hAnsi="Arial"/>
                <w:b w:val="0"/>
                <w:sz w:val="15"/>
              </w:rPr>
              <w:t>/api/agences ; /{id}</w:t>
            </w:r>
          </w:p>
        </w:tc>
        <w:tc>
          <w:tcPr>
            <w:tcW w:type="dxa" w:w="2556"/>
            <w:vAlign w:val="center"/>
          </w:tcPr>
          <w:p>
            <w:pPr>
              <w:spacing w:after="0"/>
            </w:pPr>
            <w:r/>
            <w:r>
              <w:rPr>
                <w:rFonts w:ascii="Arial" w:hAnsi="Arial"/>
                <w:b w:val="0"/>
                <w:sz w:val="15"/>
              </w:rPr>
              <w:t>201 ; 200</w:t>
            </w:r>
          </w:p>
        </w:tc>
        <w:tc>
          <w:tcPr>
            <w:tcW w:type="dxa" w:w="2556"/>
            <w:vAlign w:val="center"/>
          </w:tcPr>
          <w:p>
            <w:pPr>
              <w:spacing w:after="0"/>
            </w:pPr>
            <w:r/>
            <w:r>
              <w:rPr>
                <w:rFonts w:ascii="Arial" w:hAnsi="Arial"/>
                <w:b w:val="0"/>
                <w:sz w:val="15"/>
              </w:rPr>
              <w:t>204</w:t>
            </w:r>
          </w:p>
        </w:tc>
      </w:tr>
      <w:tr>
        <w:tc>
          <w:tcPr>
            <w:tcW w:type="dxa" w:w="2556"/>
            <w:vAlign w:val="center"/>
          </w:tcPr>
          <w:p>
            <w:pPr>
              <w:spacing w:after="0"/>
            </w:pPr>
            <w:r/>
            <w:r>
              <w:rPr>
                <w:rFonts w:ascii="Arial" w:hAnsi="Arial"/>
                <w:b/>
                <w:sz w:val="15"/>
              </w:rPr>
              <w:t>Véhicule</w:t>
            </w:r>
          </w:p>
        </w:tc>
        <w:tc>
          <w:tcPr>
            <w:tcW w:type="dxa" w:w="2556"/>
            <w:vAlign w:val="center"/>
          </w:tcPr>
          <w:p>
            <w:pPr>
              <w:spacing w:after="0"/>
            </w:pPr>
            <w:r/>
            <w:r>
              <w:rPr>
                <w:rFonts w:ascii="Arial" w:hAnsi="Arial"/>
                <w:b w:val="0"/>
                <w:sz w:val="15"/>
              </w:rPr>
              <w:t>/api/vehicules ; /{id}</w:t>
            </w:r>
          </w:p>
        </w:tc>
        <w:tc>
          <w:tcPr>
            <w:tcW w:type="dxa" w:w="2556"/>
            <w:vAlign w:val="center"/>
          </w:tcPr>
          <w:p>
            <w:pPr>
              <w:spacing w:after="0"/>
            </w:pPr>
            <w:r/>
            <w:r>
              <w:rPr>
                <w:rFonts w:ascii="Arial" w:hAnsi="Arial"/>
                <w:b w:val="0"/>
                <w:sz w:val="15"/>
              </w:rPr>
              <w:t>201 ; 200</w:t>
            </w:r>
          </w:p>
        </w:tc>
        <w:tc>
          <w:tcPr>
            <w:tcW w:type="dxa" w:w="2556"/>
            <w:vAlign w:val="center"/>
          </w:tcPr>
          <w:p>
            <w:pPr>
              <w:spacing w:after="0"/>
            </w:pPr>
            <w:r/>
            <w:r>
              <w:rPr>
                <w:rFonts w:ascii="Arial" w:hAnsi="Arial"/>
                <w:b w:val="0"/>
                <w:sz w:val="15"/>
              </w:rPr>
              <w:t>204</w:t>
            </w:r>
          </w:p>
        </w:tc>
      </w:tr>
      <w:tr>
        <w:tc>
          <w:tcPr>
            <w:tcW w:type="dxa" w:w="2556"/>
            <w:vAlign w:val="center"/>
          </w:tcPr>
          <w:p>
            <w:pPr>
              <w:spacing w:after="0"/>
            </w:pPr>
            <w:r/>
            <w:r>
              <w:rPr>
                <w:rFonts w:ascii="Arial" w:hAnsi="Arial"/>
                <w:b/>
                <w:sz w:val="15"/>
              </w:rPr>
              <w:t>Client</w:t>
            </w:r>
          </w:p>
        </w:tc>
        <w:tc>
          <w:tcPr>
            <w:tcW w:type="dxa" w:w="2556"/>
            <w:vAlign w:val="center"/>
          </w:tcPr>
          <w:p>
            <w:pPr>
              <w:spacing w:after="0"/>
            </w:pPr>
            <w:r/>
            <w:r>
              <w:rPr>
                <w:rFonts w:ascii="Arial" w:hAnsi="Arial"/>
                <w:b w:val="0"/>
                <w:sz w:val="15"/>
              </w:rPr>
              <w:t>/api/clients ; /{id}</w:t>
            </w:r>
          </w:p>
        </w:tc>
        <w:tc>
          <w:tcPr>
            <w:tcW w:type="dxa" w:w="2556"/>
            <w:vAlign w:val="center"/>
          </w:tcPr>
          <w:p>
            <w:pPr>
              <w:spacing w:after="0"/>
            </w:pPr>
            <w:r/>
            <w:r>
              <w:rPr>
                <w:rFonts w:ascii="Arial" w:hAnsi="Arial"/>
                <w:b w:val="0"/>
                <w:sz w:val="15"/>
              </w:rPr>
              <w:t>201 ; 200</w:t>
            </w:r>
          </w:p>
        </w:tc>
        <w:tc>
          <w:tcPr>
            <w:tcW w:type="dxa" w:w="2556"/>
            <w:vAlign w:val="center"/>
          </w:tcPr>
          <w:p>
            <w:pPr>
              <w:spacing w:after="0"/>
            </w:pPr>
            <w:r/>
            <w:r>
              <w:rPr>
                <w:rFonts w:ascii="Arial" w:hAnsi="Arial"/>
                <w:b w:val="0"/>
                <w:sz w:val="15"/>
              </w:rPr>
              <w:t>204</w:t>
            </w:r>
          </w:p>
        </w:tc>
      </w:tr>
      <w:tr>
        <w:tc>
          <w:tcPr>
            <w:tcW w:type="dxa" w:w="2556"/>
            <w:vAlign w:val="center"/>
          </w:tcPr>
          <w:p>
            <w:pPr>
              <w:spacing w:after="0"/>
            </w:pPr>
            <w:r/>
            <w:r>
              <w:rPr>
                <w:rFonts w:ascii="Arial" w:hAnsi="Arial"/>
                <w:b/>
                <w:sz w:val="15"/>
              </w:rPr>
              <w:t>Employé</w:t>
            </w:r>
          </w:p>
        </w:tc>
        <w:tc>
          <w:tcPr>
            <w:tcW w:type="dxa" w:w="2556"/>
            <w:vAlign w:val="center"/>
          </w:tcPr>
          <w:p>
            <w:pPr>
              <w:spacing w:after="0"/>
            </w:pPr>
            <w:r/>
            <w:r>
              <w:rPr>
                <w:rFonts w:ascii="Arial" w:hAnsi="Arial"/>
                <w:b w:val="0"/>
                <w:sz w:val="15"/>
              </w:rPr>
              <w:t>/api/employes ; /{id}</w:t>
            </w:r>
          </w:p>
        </w:tc>
        <w:tc>
          <w:tcPr>
            <w:tcW w:type="dxa" w:w="2556"/>
            <w:vAlign w:val="center"/>
          </w:tcPr>
          <w:p>
            <w:pPr>
              <w:spacing w:after="0"/>
            </w:pPr>
            <w:r/>
            <w:r>
              <w:rPr>
                <w:rFonts w:ascii="Arial" w:hAnsi="Arial"/>
                <w:b w:val="0"/>
                <w:sz w:val="15"/>
              </w:rPr>
              <w:t>201 ; 200</w:t>
            </w:r>
          </w:p>
        </w:tc>
        <w:tc>
          <w:tcPr>
            <w:tcW w:type="dxa" w:w="2556"/>
            <w:vAlign w:val="center"/>
          </w:tcPr>
          <w:p>
            <w:pPr>
              <w:spacing w:after="0"/>
            </w:pPr>
            <w:r/>
            <w:r>
              <w:rPr>
                <w:rFonts w:ascii="Arial" w:hAnsi="Arial"/>
                <w:b w:val="0"/>
                <w:sz w:val="15"/>
              </w:rPr>
              <w:t>204</w:t>
            </w:r>
          </w:p>
        </w:tc>
      </w:tr>
      <w:tr>
        <w:tc>
          <w:tcPr>
            <w:tcW w:type="dxa" w:w="2556"/>
            <w:vAlign w:val="center"/>
          </w:tcPr>
          <w:p>
            <w:pPr>
              <w:spacing w:after="0"/>
            </w:pPr>
            <w:r/>
            <w:r>
              <w:rPr>
                <w:rFonts w:ascii="Arial" w:hAnsi="Arial"/>
                <w:b/>
                <w:sz w:val="15"/>
              </w:rPr>
              <w:t>Équipement</w:t>
            </w:r>
          </w:p>
        </w:tc>
        <w:tc>
          <w:tcPr>
            <w:tcW w:type="dxa" w:w="2556"/>
            <w:vAlign w:val="center"/>
          </w:tcPr>
          <w:p>
            <w:pPr>
              <w:spacing w:after="0"/>
            </w:pPr>
            <w:r/>
            <w:r>
              <w:rPr>
                <w:rFonts w:ascii="Arial" w:hAnsi="Arial"/>
                <w:b w:val="0"/>
                <w:sz w:val="15"/>
              </w:rPr>
              <w:t>/api/equipements ; /{id}</w:t>
            </w:r>
          </w:p>
        </w:tc>
        <w:tc>
          <w:tcPr>
            <w:tcW w:type="dxa" w:w="2556"/>
            <w:vAlign w:val="center"/>
          </w:tcPr>
          <w:p>
            <w:pPr>
              <w:spacing w:after="0"/>
            </w:pPr>
            <w:r/>
            <w:r>
              <w:rPr>
                <w:rFonts w:ascii="Arial" w:hAnsi="Arial"/>
                <w:b w:val="0"/>
                <w:sz w:val="15"/>
              </w:rPr>
              <w:t>201 ; 200</w:t>
            </w:r>
          </w:p>
        </w:tc>
        <w:tc>
          <w:tcPr>
            <w:tcW w:type="dxa" w:w="2556"/>
            <w:vAlign w:val="center"/>
          </w:tcPr>
          <w:p>
            <w:pPr>
              <w:spacing w:after="0"/>
            </w:pPr>
            <w:r/>
            <w:r>
              <w:rPr>
                <w:rFonts w:ascii="Arial" w:hAnsi="Arial"/>
                <w:b w:val="0"/>
                <w:sz w:val="15"/>
              </w:rPr>
              <w:t>204</w:t>
            </w:r>
          </w:p>
        </w:tc>
      </w:tr>
      <w:tr>
        <w:tc>
          <w:tcPr>
            <w:tcW w:type="dxa" w:w="2556"/>
            <w:vAlign w:val="center"/>
          </w:tcPr>
          <w:p>
            <w:pPr>
              <w:spacing w:after="0"/>
            </w:pPr>
            <w:r/>
            <w:r>
              <w:rPr>
                <w:rFonts w:ascii="Arial" w:hAnsi="Arial"/>
                <w:b/>
                <w:sz w:val="15"/>
              </w:rPr>
              <w:t>Réservation</w:t>
            </w:r>
          </w:p>
        </w:tc>
        <w:tc>
          <w:tcPr>
            <w:tcW w:type="dxa" w:w="2556"/>
            <w:vAlign w:val="center"/>
          </w:tcPr>
          <w:p>
            <w:pPr>
              <w:spacing w:after="0"/>
            </w:pPr>
            <w:r/>
            <w:r>
              <w:rPr>
                <w:rFonts w:ascii="Arial" w:hAnsi="Arial"/>
                <w:b w:val="0"/>
                <w:sz w:val="15"/>
              </w:rPr>
              <w:t>/api/reservations ; /{id}</w:t>
            </w:r>
          </w:p>
        </w:tc>
        <w:tc>
          <w:tcPr>
            <w:tcW w:type="dxa" w:w="2556"/>
            <w:vAlign w:val="center"/>
          </w:tcPr>
          <w:p>
            <w:pPr>
              <w:spacing w:after="0"/>
            </w:pPr>
            <w:r/>
            <w:r>
              <w:rPr>
                <w:rFonts w:ascii="Arial" w:hAnsi="Arial"/>
                <w:b w:val="0"/>
                <w:sz w:val="15"/>
              </w:rPr>
              <w:t>201 ; 200</w:t>
            </w:r>
          </w:p>
        </w:tc>
        <w:tc>
          <w:tcPr>
            <w:tcW w:type="dxa" w:w="2556"/>
            <w:vAlign w:val="center"/>
          </w:tcPr>
          <w:p>
            <w:pPr>
              <w:spacing w:after="0"/>
            </w:pPr>
            <w:r/>
            <w:r>
              <w:rPr>
                <w:rFonts w:ascii="Arial" w:hAnsi="Arial"/>
                <w:b w:val="0"/>
                <w:sz w:val="15"/>
              </w:rPr>
              <w:t>204</w:t>
            </w:r>
          </w:p>
        </w:tc>
      </w:tr>
      <w:tr>
        <w:tc>
          <w:tcPr>
            <w:tcW w:type="dxa" w:w="2556"/>
            <w:vAlign w:val="center"/>
          </w:tcPr>
          <w:p>
            <w:pPr>
              <w:spacing w:after="0"/>
            </w:pPr>
            <w:r/>
            <w:r>
              <w:rPr>
                <w:rFonts w:ascii="Arial" w:hAnsi="Arial"/>
                <w:b/>
                <w:sz w:val="15"/>
              </w:rPr>
              <w:t>Contrat</w:t>
            </w:r>
          </w:p>
        </w:tc>
        <w:tc>
          <w:tcPr>
            <w:tcW w:type="dxa" w:w="2556"/>
            <w:vAlign w:val="center"/>
          </w:tcPr>
          <w:p>
            <w:pPr>
              <w:spacing w:after="0"/>
            </w:pPr>
            <w:r/>
            <w:r>
              <w:rPr>
                <w:rFonts w:ascii="Arial" w:hAnsi="Arial"/>
                <w:b w:val="0"/>
                <w:sz w:val="15"/>
              </w:rPr>
              <w:t>/api/contrats ; /{id}</w:t>
            </w:r>
          </w:p>
        </w:tc>
        <w:tc>
          <w:tcPr>
            <w:tcW w:type="dxa" w:w="2556"/>
            <w:vAlign w:val="center"/>
          </w:tcPr>
          <w:p>
            <w:pPr>
              <w:spacing w:after="0"/>
            </w:pPr>
            <w:r/>
            <w:r>
              <w:rPr>
                <w:rFonts w:ascii="Arial" w:hAnsi="Arial"/>
                <w:b w:val="0"/>
                <w:sz w:val="15"/>
              </w:rPr>
              <w:t>201 ; 200</w:t>
            </w:r>
          </w:p>
        </w:tc>
        <w:tc>
          <w:tcPr>
            <w:tcW w:type="dxa" w:w="2556"/>
            <w:vAlign w:val="center"/>
          </w:tcPr>
          <w:p>
            <w:pPr>
              <w:spacing w:after="0"/>
            </w:pPr>
            <w:r/>
            <w:r>
              <w:rPr>
                <w:rFonts w:ascii="Arial" w:hAnsi="Arial"/>
                <w:b w:val="0"/>
                <w:sz w:val="15"/>
              </w:rPr>
              <w:t>204</w:t>
            </w:r>
          </w:p>
        </w:tc>
      </w:tr>
      <w:tr>
        <w:tc>
          <w:tcPr>
            <w:tcW w:type="dxa" w:w="2556"/>
            <w:vAlign w:val="center"/>
          </w:tcPr>
          <w:p>
            <w:pPr>
              <w:spacing w:after="0"/>
            </w:pPr>
            <w:r/>
            <w:r>
              <w:rPr>
                <w:rFonts w:ascii="Arial" w:hAnsi="Arial"/>
                <w:b/>
                <w:sz w:val="15"/>
              </w:rPr>
              <w:t>Maintenance</w:t>
            </w:r>
          </w:p>
        </w:tc>
        <w:tc>
          <w:tcPr>
            <w:tcW w:type="dxa" w:w="2556"/>
            <w:vAlign w:val="center"/>
          </w:tcPr>
          <w:p>
            <w:pPr>
              <w:spacing w:after="0"/>
            </w:pPr>
            <w:r/>
            <w:r>
              <w:rPr>
                <w:rFonts w:ascii="Arial" w:hAnsi="Arial"/>
                <w:b w:val="0"/>
                <w:sz w:val="15"/>
              </w:rPr>
              <w:t>/api/maintenances ; /{id}</w:t>
            </w:r>
          </w:p>
        </w:tc>
        <w:tc>
          <w:tcPr>
            <w:tcW w:type="dxa" w:w="2556"/>
            <w:vAlign w:val="center"/>
          </w:tcPr>
          <w:p>
            <w:pPr>
              <w:spacing w:after="0"/>
            </w:pPr>
            <w:r/>
            <w:r>
              <w:rPr>
                <w:rFonts w:ascii="Arial" w:hAnsi="Arial"/>
                <w:b w:val="0"/>
                <w:sz w:val="15"/>
              </w:rPr>
              <w:t>201 ; 200</w:t>
            </w:r>
          </w:p>
        </w:tc>
        <w:tc>
          <w:tcPr>
            <w:tcW w:type="dxa" w:w="2556"/>
            <w:vAlign w:val="center"/>
          </w:tcPr>
          <w:p>
            <w:pPr>
              <w:spacing w:after="0"/>
            </w:pPr>
            <w:r/>
            <w:r>
              <w:rPr>
                <w:rFonts w:ascii="Arial" w:hAnsi="Arial"/>
                <w:b w:val="0"/>
                <w:sz w:val="15"/>
              </w:rPr>
              <w:t>204</w:t>
            </w:r>
          </w:p>
        </w:tc>
      </w:tr>
      <w:tr>
        <w:tc>
          <w:tcPr>
            <w:tcW w:type="dxa" w:w="2556"/>
            <w:vAlign w:val="center"/>
          </w:tcPr>
          <w:p>
            <w:pPr>
              <w:spacing w:after="0"/>
            </w:pPr>
            <w:r/>
            <w:r>
              <w:rPr>
                <w:rFonts w:ascii="Arial" w:hAnsi="Arial"/>
                <w:b/>
                <w:sz w:val="15"/>
              </w:rPr>
              <w:t>Paiement</w:t>
            </w:r>
          </w:p>
        </w:tc>
        <w:tc>
          <w:tcPr>
            <w:tcW w:type="dxa" w:w="2556"/>
            <w:vAlign w:val="center"/>
          </w:tcPr>
          <w:p>
            <w:pPr>
              <w:spacing w:after="0"/>
            </w:pPr>
            <w:r/>
            <w:r>
              <w:rPr>
                <w:rFonts w:ascii="Arial" w:hAnsi="Arial"/>
                <w:b w:val="0"/>
                <w:sz w:val="15"/>
              </w:rPr>
              <w:t>/api/paiements ; /{id}</w:t>
            </w:r>
          </w:p>
        </w:tc>
        <w:tc>
          <w:tcPr>
            <w:tcW w:type="dxa" w:w="2556"/>
            <w:vAlign w:val="center"/>
          </w:tcPr>
          <w:p>
            <w:pPr>
              <w:spacing w:after="0"/>
            </w:pPr>
            <w:r/>
            <w:r>
              <w:rPr>
                <w:rFonts w:ascii="Arial" w:hAnsi="Arial"/>
                <w:b w:val="0"/>
                <w:sz w:val="15"/>
              </w:rPr>
              <w:t>lecture seule</w:t>
            </w:r>
          </w:p>
        </w:tc>
        <w:tc>
          <w:tcPr>
            <w:tcW w:type="dxa" w:w="2556"/>
            <w:vAlign w:val="center"/>
          </w:tcPr>
          <w:p>
            <w:pPr>
              <w:spacing w:after="0"/>
            </w:pPr>
            <w:r/>
            <w:r>
              <w:rPr>
                <w:rFonts w:ascii="Arial" w:hAnsi="Arial"/>
                <w:b w:val="0"/>
                <w:sz w:val="15"/>
              </w:rPr>
              <w:t>non exposé</w:t>
            </w:r>
          </w:p>
        </w:tc>
      </w:tr>
    </w:tbl>
    <w:p>
      <w:r>
        <w:t>Le préfixe `/api` est configuré une seule fois dans `server.servlet.context-path`. Les contrôleurs s’injectent par constructeur et dépendent des interfaces `I...Service`, pas des repositories. Les statuts principaux sont 200 (lecture/modification), 201 (création), 204 (suppression sans corps), 400 (entrée invalide), 404 (ressource absente), 405 (méthode non autorisée) et 409 (conflit d’intégrité).</w:t>
      </w:r>
    </w:p>
    <w:p>
      <w:pPr>
        <w:pStyle w:val="Heading1"/>
      </w:pPr>
      <w:r>
        <w:t>4. Atelier 6 — Mission 1 : Le simulateur de prix</w:t>
      </w:r>
    </w:p>
    <w:p>
      <w:pPr>
        <w:pStyle w:val="Heading2"/>
      </w:pPr>
      <w:r>
        <w:t>Demande et problème identifié</w:t>
      </w:r>
    </w:p>
    <w:p>
      <w:r>
        <w:t>Le simulateur doit afficher le prix d’une location, sans confirmer la réservation, sans créer un paiement ou un contrat, et sans envoyer de notification. Dans `LocationManager` fourni dans le sujet Atelier 6, le calcul des jours/tarif, les remises, le paiement, la création du contrat et les notifications sont réunis dans la même méthode. Appeler cette méthode pour une simulation déclencherait trop de responsabilités ; recopier le calcul ferait diverger les règles.</w:t>
      </w:r>
    </w:p>
    <w:p>
      <w:pPr>
        <w:pStyle w:val="Heading2"/>
      </w:pPr>
      <w:r>
        <w:t>Principe de conception : SRP</w:t>
      </w:r>
    </w:p>
    <w:p>
      <w:r>
        <w:t>SRP — Single Responsibility Principle (principe de responsabilité unique). En nos mots : une classe doit avoir une responsabilité principale et donc une raison principale de changer. Le calcul d’un prix ne doit pas être couplé au paiement, à la persistance du contrat et aux notifications.</w:t>
      </w:r>
    </w:p>
    <w:p>
      <w:r>
        <w:t>Avant : calcul tarifaire et orchestration des effets de bord sont mélangés dans `LocationManager.confirmerReservation`. Après : `CalculateurPrixService` concentre les règles tarifaires, `PrixSimulationService` charge une réservation et délègue le calcul, et `PrixSimulationController` expose le simulateur. La simulation ne fait aucune écriture en base.</w:t>
      </w:r>
    </w:p>
    <w:p>
      <w:pPr>
        <w:pStyle w:val="Heading2"/>
      </w:pPr>
      <w:r>
        <w:t>Schéma de la solution</w:t>
      </w:r>
    </w:p>
    <w:p>
      <w:pPr>
        <w:spacing w:after="0"/>
        <w:ind w:left="173"/>
      </w:pPr>
      <w:r>
        <w:rPr>
          <w:rFonts w:ascii="Consolas" w:hAnsi="Consolas"/>
          <w:sz w:val="15"/>
        </w:rPr>
        <w:t>POST /api/simulations-prix</w:t>
      </w:r>
    </w:p>
    <w:p>
      <w:pPr>
        <w:spacing w:after="0"/>
        <w:ind w:left="173"/>
      </w:pPr>
      <w:r>
        <w:rPr>
          <w:rFonts w:ascii="Consolas" w:hAnsi="Consolas"/>
          <w:sz w:val="15"/>
        </w:rPr>
        <w:t xml:space="preserve">          |</w:t>
      </w:r>
    </w:p>
    <w:p>
      <w:pPr>
        <w:spacing w:after="0"/>
        <w:ind w:left="173"/>
      </w:pPr>
      <w:r>
        <w:rPr>
          <w:rFonts w:ascii="Consolas" w:hAnsi="Consolas"/>
          <w:sz w:val="15"/>
        </w:rPr>
        <w:t xml:space="preserve">          v</w:t>
      </w:r>
    </w:p>
    <w:p>
      <w:pPr>
        <w:spacing w:after="0"/>
        <w:ind w:left="173"/>
      </w:pPr>
      <w:r>
        <w:rPr>
          <w:rFonts w:ascii="Consolas" w:hAnsi="Consolas"/>
          <w:sz w:val="15"/>
        </w:rPr>
        <w:t>PrixSimulationController (web)</w:t>
      </w:r>
    </w:p>
    <w:p>
      <w:pPr>
        <w:spacing w:after="0"/>
        <w:ind w:left="173"/>
      </w:pPr>
      <w:r>
        <w:rPr>
          <w:rFonts w:ascii="Consolas" w:hAnsi="Consolas"/>
          <w:sz w:val="15"/>
        </w:rPr>
        <w:t xml:space="preserve">          |</w:t>
      </w:r>
    </w:p>
    <w:p>
      <w:pPr>
        <w:spacing w:after="0"/>
        <w:ind w:left="173"/>
      </w:pPr>
      <w:r>
        <w:rPr>
          <w:rFonts w:ascii="Consolas" w:hAnsi="Consolas"/>
          <w:sz w:val="15"/>
        </w:rPr>
        <w:t xml:space="preserve">          v</w:t>
      </w:r>
    </w:p>
    <w:p>
      <w:pPr>
        <w:spacing w:after="0"/>
        <w:ind w:left="173"/>
      </w:pPr>
      <w:r>
        <w:rPr>
          <w:rFonts w:ascii="Consolas" w:hAnsi="Consolas"/>
          <w:sz w:val="15"/>
        </w:rPr>
        <w:t>IPrixSimulationService / PrixSimulationService</w:t>
      </w:r>
    </w:p>
    <w:p>
      <w:pPr>
        <w:spacing w:after="0"/>
        <w:ind w:left="173"/>
      </w:pPr>
      <w:r>
        <w:rPr>
          <w:rFonts w:ascii="Consolas" w:hAnsi="Consolas"/>
          <w:sz w:val="15"/>
        </w:rPr>
        <w:t xml:space="preserve">          |                         \</w:t>
      </w:r>
    </w:p>
    <w:p>
      <w:pPr>
        <w:spacing w:after="0"/>
        <w:ind w:left="173"/>
      </w:pPr>
      <w:r>
        <w:rPr>
          <w:rFonts w:ascii="Consolas" w:hAnsi="Consolas"/>
          <w:sz w:val="15"/>
        </w:rPr>
        <w:t xml:space="preserve">          |                          -&gt; ICalculateurPrixService</w:t>
      </w:r>
    </w:p>
    <w:p>
      <w:pPr>
        <w:spacing w:after="0"/>
        <w:ind w:left="173"/>
      </w:pPr>
      <w:r>
        <w:rPr>
          <w:rFonts w:ascii="Consolas" w:hAnsi="Consolas"/>
          <w:sz w:val="15"/>
        </w:rPr>
        <w:t xml:space="preserve">          v                                  |</w:t>
      </w:r>
    </w:p>
    <w:p>
      <w:pPr>
        <w:spacing w:after="0"/>
        <w:ind w:left="173"/>
      </w:pPr>
      <w:r>
        <w:rPr>
          <w:rFonts w:ascii="Consolas" w:hAnsi="Consolas"/>
          <w:sz w:val="15"/>
        </w:rPr>
        <w:t>IReservationService.findById                v</w:t>
      </w:r>
    </w:p>
    <w:p>
      <w:pPr>
        <w:spacing w:after="0"/>
        <w:ind w:left="173"/>
      </w:pPr>
      <w:r>
        <w:rPr>
          <w:rFonts w:ascii="Consolas" w:hAnsi="Consolas"/>
          <w:sz w:val="15"/>
        </w:rPr>
        <w:t xml:space="preserve">          |                       CalculateurPrixService</w:t>
      </w:r>
    </w:p>
    <w:p>
      <w:pPr>
        <w:spacing w:after="0"/>
        <w:ind w:left="173"/>
      </w:pPr>
      <w:r>
        <w:rPr>
          <w:rFonts w:ascii="Consolas" w:hAnsi="Consolas"/>
          <w:sz w:val="15"/>
        </w:rPr>
        <w:t xml:space="preserve">          v                                  |</w:t>
      </w:r>
    </w:p>
    <w:p>
      <w:pPr>
        <w:spacing w:after="0"/>
        <w:ind w:left="173"/>
      </w:pPr>
      <w:r>
        <w:rPr>
          <w:rFonts w:ascii="Consolas" w:hAnsi="Consolas"/>
          <w:sz w:val="15"/>
        </w:rPr>
        <w:t xml:space="preserve">     Reservation --------------------------&gt; estimation JSON</w:t>
      </w:r>
    </w:p>
    <w:p>
      <w:pPr>
        <w:spacing w:after="0"/>
        <w:ind w:left="173"/>
      </w:pPr>
      <w:r>
        <w:rPr>
          <w:rFonts w:ascii="Consolas" w:hAnsi="Consolas"/>
          <w:sz w:val="15"/>
        </w:rPr>
        <w:t xml:space="preserve"> </w:t>
      </w:r>
    </w:p>
    <w:p>
      <w:pPr>
        <w:spacing w:after="0"/>
        <w:ind w:left="173"/>
      </w:pPr>
      <w:r>
        <w:rPr>
          <w:rFonts w:ascii="Consolas" w:hAnsi="Consolas"/>
          <w:sz w:val="15"/>
        </w:rPr>
        <w:t>Aucun Contrat.save, aucun Paiement.save, aucune notification.</w:t>
      </w:r>
    </w:p>
    <w:p>
      <w:pPr>
        <w:pStyle w:val="Heading2"/>
      </w:pPr>
      <w:r>
        <w:t>Règles tarifaires mises en œuvre</w:t>
      </w:r>
    </w:p>
    <w:p>
      <w:pPr>
        <w:pStyle w:val="ListBullet"/>
        <w:spacing w:after="20"/>
      </w:pPr>
      <w:r>
        <w:t>Prix de base = tarif journalier × nombre de jours inclusif (date de début et date de fin comptent).</w:t>
      </w:r>
    </w:p>
    <w:p>
      <w:pPr>
        <w:pStyle w:val="ListBullet"/>
        <w:spacing w:after="20"/>
      </w:pPr>
      <w:r>
        <w:t>PARTICULIER : réduction de 10 % si la location dure au moins 7 jours.</w:t>
      </w:r>
    </w:p>
    <w:p>
      <w:pPr>
        <w:pStyle w:val="ListBullet"/>
        <w:spacing w:after="20"/>
      </w:pPr>
      <w:r>
        <w:t>ENTREPRISE : réduction de 15 %. VIP : réduction de 20 %.</w:t>
      </w:r>
    </w:p>
    <w:p>
      <w:pPr>
        <w:pStyle w:val="ListBullet"/>
        <w:spacing w:after="20"/>
      </w:pPr>
      <w:r>
        <w:t>Code `BIENVENUE` : −20 après la remise client.</w:t>
      </w:r>
    </w:p>
    <w:p>
      <w:pPr>
        <w:pStyle w:val="ListBullet"/>
        <w:spacing w:after="20"/>
      </w:pPr>
      <w:r>
        <w:t>CARTE : frais de 1 % après remises ; VIREMENT et ESPECES : aucun frais suivant la règle fournie.</w:t>
      </w:r>
    </w:p>
    <w:p>
      <w:pPr>
        <w:pStyle w:val="ListBullet"/>
        <w:spacing w:after="20"/>
      </w:pPr>
      <w:r>
        <w:t>Calcul monétaire avec `BigDecimal`, arrondi à deux décimales.</w:t>
      </w:r>
    </w:p>
    <w:p>
      <w:r>
        <w:t>Adaptation au vrai modèle : la classe `Client` de l’archive Atelier 5 n’a pas de propriété `type`. Pour ne pas ajouter arbitrairement un champ à la base, le simulateur reçoit `typeClient` dans la requête (`PARTICULIER`, `ENTREPRISE`, `VIP`). Le `LocationManager` de l’énoncé Atelier 6 n’existait pas dans le ZIP, donc la mission est intégrée en tant qu’API de simulation réelle. Quand le flux de confirmation sera ajouté, il devra appeler le même `ICalculateurPrixService` plutôt que recopier la formule.</w:t>
      </w:r>
    </w:p>
    <w:p>
      <w:pPr>
        <w:pStyle w:val="Heading1"/>
      </w:pPr>
      <w:r>
        <w:t>5. Comment tester la Mission 1</w:t>
      </w:r>
    </w:p>
    <w:p>
      <w:r>
        <w:t>Dans Postman, créer une requête `POST` vers `http://localhost:8081/api/simulations-prix`, avec `Content-Type: application/json`, puis ce corps. Remplacer 1 par l’`idReservation` effectivement renvoyé par GET `/api/reservations` si nécessaire :</w:t>
      </w:r>
    </w:p>
    <w:p>
      <w:pPr>
        <w:spacing w:after="0"/>
        <w:ind w:left="173"/>
      </w:pPr>
      <w:r>
        <w:rPr>
          <w:rFonts w:ascii="Consolas" w:hAnsi="Consolas"/>
          <w:sz w:val="15"/>
        </w:rPr>
        <w:t>{</w:t>
      </w:r>
    </w:p>
    <w:p>
      <w:pPr>
        <w:spacing w:after="0"/>
        <w:ind w:left="173"/>
      </w:pPr>
      <w:r>
        <w:rPr>
          <w:rFonts w:ascii="Consolas" w:hAnsi="Consolas"/>
          <w:sz w:val="15"/>
        </w:rPr>
        <w:t xml:space="preserve">  "reservationId": 1,</w:t>
      </w:r>
    </w:p>
    <w:p>
      <w:pPr>
        <w:spacing w:after="0"/>
        <w:ind w:left="173"/>
      </w:pPr>
      <w:r>
        <w:rPr>
          <w:rFonts w:ascii="Consolas" w:hAnsi="Consolas"/>
          <w:sz w:val="15"/>
        </w:rPr>
        <w:t xml:space="preserve">  "typeClient": "VIP",</w:t>
      </w:r>
    </w:p>
    <w:p>
      <w:pPr>
        <w:spacing w:after="0"/>
        <w:ind w:left="173"/>
      </w:pPr>
      <w:r>
        <w:rPr>
          <w:rFonts w:ascii="Consolas" w:hAnsi="Consolas"/>
          <w:sz w:val="15"/>
        </w:rPr>
        <w:t xml:space="preserve">  "codePromo": "BIENVENUE",</w:t>
      </w:r>
    </w:p>
    <w:p>
      <w:pPr>
        <w:spacing w:after="0"/>
        <w:ind w:left="173"/>
      </w:pPr>
      <w:r>
        <w:rPr>
          <w:rFonts w:ascii="Consolas" w:hAnsi="Consolas"/>
          <w:sz w:val="15"/>
        </w:rPr>
        <w:t xml:space="preserve">  "modePaiement": "CARTE"</w:t>
      </w:r>
    </w:p>
    <w:p>
      <w:pPr>
        <w:spacing w:after="0"/>
        <w:ind w:left="173"/>
      </w:pPr>
      <w:r>
        <w:rPr>
          <w:rFonts w:ascii="Consolas" w:hAnsi="Consolas"/>
          <w:sz w:val="15"/>
        </w:rPr>
        <w:t>}</w:t>
      </w:r>
    </w:p>
    <w:p>
      <w:r>
        <w:t>Résultat attendu : `200 OK`, avec `nombreJours`, `prixBase`, `remiseClient`, `remisePromo`, `fraisPaiement`, `montantFinal`, et `persiste: false`.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3057"/>
          </w:tcPr>
          <w:p>
            <w:pPr>
              <w:spacing w:after="0"/>
            </w:pPr>
            <w:r/>
            <w:r>
              <w:rPr>
                <w:rFonts w:ascii="Arial" w:hAnsi="Arial"/>
                <w:b/>
                <w:color w:val="FFFFFF"/>
                <w:sz w:val="16"/>
              </w:rPr>
              <w:t>Test</w:t>
            </w:r>
          </w:p>
        </w:tc>
        <w:tc>
          <w:tcPr>
            <w:tcW w:type="dxa" w:w="3408"/>
            <w:vAlign w:val="center"/>
            <w:shd w:fill="1F3057"/>
          </w:tcPr>
          <w:p>
            <w:pPr>
              <w:spacing w:after="0"/>
            </w:pPr>
            <w:r/>
            <w:r>
              <w:rPr>
                <w:rFonts w:ascii="Arial" w:hAnsi="Arial"/>
                <w:b/>
                <w:color w:val="FFFFFF"/>
                <w:sz w:val="16"/>
              </w:rPr>
              <w:t>Appel</w:t>
            </w:r>
          </w:p>
        </w:tc>
        <w:tc>
          <w:tcPr>
            <w:tcW w:type="dxa" w:w="3408"/>
            <w:vAlign w:val="center"/>
            <w:shd w:fill="1F3057"/>
          </w:tcPr>
          <w:p>
            <w:pPr>
              <w:spacing w:after="0"/>
            </w:pPr>
            <w:r/>
            <w:r>
              <w:rPr>
                <w:rFonts w:ascii="Arial" w:hAnsi="Arial"/>
                <w:b/>
                <w:color w:val="FFFFFF"/>
                <w:sz w:val="16"/>
              </w:rPr>
              <w:t>Résultat attendu</w:t>
            </w:r>
          </w:p>
        </w:tc>
      </w:tr>
      <w:tr>
        <w:tc>
          <w:tcPr>
            <w:tcW w:type="dxa" w:w="3408"/>
            <w:vAlign w:val="center"/>
          </w:tcPr>
          <w:p>
            <w:pPr>
              <w:spacing w:after="0"/>
            </w:pPr>
            <w:r/>
            <w:r>
              <w:rPr>
                <w:rFonts w:ascii="Arial" w:hAnsi="Arial"/>
                <w:b w:val="0"/>
                <w:sz w:val="14"/>
              </w:rPr>
              <w:t>Nominal</w:t>
            </w:r>
          </w:p>
        </w:tc>
        <w:tc>
          <w:tcPr>
            <w:tcW w:type="dxa" w:w="3408"/>
            <w:vAlign w:val="center"/>
          </w:tcPr>
          <w:p>
            <w:pPr>
              <w:spacing w:after="0"/>
            </w:pPr>
            <w:r/>
            <w:r>
              <w:rPr>
                <w:rFonts w:ascii="Arial" w:hAnsi="Arial"/>
                <w:b w:val="0"/>
                <w:sz w:val="14"/>
              </w:rPr>
              <w:t>POST /api/simulations-prix avec une réservation existante et VIP / CARTE / BIENVENUE</w:t>
            </w:r>
          </w:p>
        </w:tc>
        <w:tc>
          <w:tcPr>
            <w:tcW w:type="dxa" w:w="3408"/>
            <w:vAlign w:val="center"/>
          </w:tcPr>
          <w:p>
            <w:pPr>
              <w:spacing w:after="0"/>
            </w:pPr>
            <w:r/>
            <w:r>
              <w:rPr>
                <w:rFonts w:ascii="Arial" w:hAnsi="Arial"/>
                <w:b w:val="0"/>
                <w:sz w:val="14"/>
              </w:rPr>
              <w:t>200 ; décomposition du prix, persiste=false</w:t>
            </w:r>
          </w:p>
        </w:tc>
      </w:tr>
      <w:tr>
        <w:tc>
          <w:tcPr>
            <w:tcW w:type="dxa" w:w="3408"/>
            <w:vAlign w:val="center"/>
          </w:tcPr>
          <w:p>
            <w:pPr>
              <w:spacing w:after="0"/>
            </w:pPr>
            <w:r/>
            <w:r>
              <w:rPr>
                <w:rFonts w:ascii="Arial" w:hAnsi="Arial"/>
                <w:b w:val="0"/>
                <w:sz w:val="14"/>
              </w:rPr>
              <w:t>Réservation absente</w:t>
            </w:r>
          </w:p>
        </w:tc>
        <w:tc>
          <w:tcPr>
            <w:tcW w:type="dxa" w:w="3408"/>
            <w:vAlign w:val="center"/>
          </w:tcPr>
          <w:p>
            <w:pPr>
              <w:spacing w:after="0"/>
            </w:pPr>
            <w:r/>
            <w:r>
              <w:rPr>
                <w:rFonts w:ascii="Arial" w:hAnsi="Arial"/>
                <w:b w:val="0"/>
                <w:sz w:val="14"/>
              </w:rPr>
              <w:t>POST avec reservationId=999999</w:t>
            </w:r>
          </w:p>
        </w:tc>
        <w:tc>
          <w:tcPr>
            <w:tcW w:type="dxa" w:w="3408"/>
            <w:vAlign w:val="center"/>
          </w:tcPr>
          <w:p>
            <w:pPr>
              <w:spacing w:after="0"/>
            </w:pPr>
            <w:r/>
            <w:r>
              <w:rPr>
                <w:rFonts w:ascii="Arial" w:hAnsi="Arial"/>
                <w:b w:val="0"/>
                <w:sz w:val="14"/>
              </w:rPr>
              <w:t>404</w:t>
            </w:r>
          </w:p>
        </w:tc>
      </w:tr>
      <w:tr>
        <w:tc>
          <w:tcPr>
            <w:tcW w:type="dxa" w:w="3408"/>
            <w:vAlign w:val="center"/>
          </w:tcPr>
          <w:p>
            <w:pPr>
              <w:spacing w:after="0"/>
            </w:pPr>
            <w:r/>
            <w:r>
              <w:rPr>
                <w:rFonts w:ascii="Arial" w:hAnsi="Arial"/>
                <w:b w:val="0"/>
                <w:sz w:val="14"/>
              </w:rPr>
              <w:t>Type invalide</w:t>
            </w:r>
          </w:p>
        </w:tc>
        <w:tc>
          <w:tcPr>
            <w:tcW w:type="dxa" w:w="3408"/>
            <w:vAlign w:val="center"/>
          </w:tcPr>
          <w:p>
            <w:pPr>
              <w:spacing w:after="0"/>
            </w:pPr>
            <w:r/>
            <w:r>
              <w:rPr>
                <w:rFonts w:ascii="Arial" w:hAnsi="Arial"/>
                <w:b w:val="0"/>
                <w:sz w:val="14"/>
              </w:rPr>
              <w:t>POST avec typeClient=ROBOT</w:t>
            </w:r>
          </w:p>
        </w:tc>
        <w:tc>
          <w:tcPr>
            <w:tcW w:type="dxa" w:w="3408"/>
            <w:vAlign w:val="center"/>
          </w:tcPr>
          <w:p>
            <w:pPr>
              <w:spacing w:after="0"/>
            </w:pPr>
            <w:r/>
            <w:r>
              <w:rPr>
                <w:rFonts w:ascii="Arial" w:hAnsi="Arial"/>
                <w:b w:val="0"/>
                <w:sz w:val="14"/>
              </w:rPr>
              <w:t>400</w:t>
            </w:r>
          </w:p>
        </w:tc>
      </w:tr>
      <w:tr>
        <w:tc>
          <w:tcPr>
            <w:tcW w:type="dxa" w:w="3408"/>
            <w:vAlign w:val="center"/>
          </w:tcPr>
          <w:p>
            <w:pPr>
              <w:spacing w:after="0"/>
            </w:pPr>
            <w:r/>
            <w:r>
              <w:rPr>
                <w:rFonts w:ascii="Arial" w:hAnsi="Arial"/>
                <w:b w:val="0"/>
                <w:sz w:val="14"/>
              </w:rPr>
              <w:t>Paiement en lecture seule</w:t>
            </w:r>
          </w:p>
        </w:tc>
        <w:tc>
          <w:tcPr>
            <w:tcW w:type="dxa" w:w="3408"/>
            <w:vAlign w:val="center"/>
          </w:tcPr>
          <w:p>
            <w:pPr>
              <w:spacing w:after="0"/>
            </w:pPr>
            <w:r/>
            <w:r>
              <w:rPr>
                <w:rFonts w:ascii="Arial" w:hAnsi="Arial"/>
                <w:b w:val="0"/>
                <w:sz w:val="14"/>
              </w:rPr>
              <w:t>POST /api/paiements avec un JSON</w:t>
            </w:r>
          </w:p>
        </w:tc>
        <w:tc>
          <w:tcPr>
            <w:tcW w:type="dxa" w:w="3408"/>
            <w:vAlign w:val="center"/>
          </w:tcPr>
          <w:p>
            <w:pPr>
              <w:spacing w:after="0"/>
            </w:pPr>
            <w:r/>
            <w:r>
              <w:rPr>
                <w:rFonts w:ascii="Arial" w:hAnsi="Arial"/>
                <w:b w:val="0"/>
                <w:sz w:val="14"/>
              </w:rPr>
              <w:t>405</w:t>
            </w:r>
          </w:p>
        </w:tc>
      </w:tr>
      <w:tr>
        <w:tc>
          <w:tcPr>
            <w:tcW w:type="dxa" w:w="3408"/>
            <w:vAlign w:val="center"/>
          </w:tcPr>
          <w:p>
            <w:pPr>
              <w:spacing w:after="0"/>
            </w:pPr>
            <w:r/>
            <w:r>
              <w:rPr>
                <w:rFonts w:ascii="Arial" w:hAnsi="Arial"/>
                <w:b w:val="0"/>
                <w:sz w:val="14"/>
              </w:rPr>
              <w:t>Pas d’effet secondaire</w:t>
            </w:r>
          </w:p>
        </w:tc>
        <w:tc>
          <w:tcPr>
            <w:tcW w:type="dxa" w:w="3408"/>
            <w:vAlign w:val="center"/>
          </w:tcPr>
          <w:p>
            <w:pPr>
              <w:spacing w:after="0"/>
            </w:pPr>
            <w:r/>
            <w:r>
              <w:rPr>
                <w:rFonts w:ascii="Arial" w:hAnsi="Arial"/>
                <w:b w:val="0"/>
                <w:sz w:val="14"/>
              </w:rPr>
              <w:t>Comparer GET /api/contrats et GET /api/paiements avant/après simulation</w:t>
            </w:r>
          </w:p>
        </w:tc>
        <w:tc>
          <w:tcPr>
            <w:tcW w:type="dxa" w:w="3408"/>
            <w:vAlign w:val="center"/>
          </w:tcPr>
          <w:p>
            <w:pPr>
              <w:spacing w:after="0"/>
            </w:pPr>
            <w:r/>
            <w:r>
              <w:rPr>
                <w:rFonts w:ascii="Arial" w:hAnsi="Arial"/>
                <w:b w:val="0"/>
                <w:sz w:val="14"/>
              </w:rPr>
              <w:t>Aucune nouvelle ligne créée par la simulation</w:t>
            </w:r>
          </w:p>
        </w:tc>
      </w:tr>
    </w:tbl>
    <w:p>
      <w:pPr>
        <w:pStyle w:val="Heading1"/>
      </w:pPr>
      <w:r>
        <w:t>6. Prompts de la phase de découverte</w:t>
      </w:r>
    </w:p>
    <w:p>
      <w:r>
        <w:t>Le tableau ci-dessous contient le prompt Atelier 6 présent dans cette conversation. Il ne faut pas inventer de prompts supplémentaires : s’il y a eu d’autres requêtes dans une autre session, ajoutez-les en reprenant exactement leur texte original.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3057"/>
          </w:tcPr>
          <w:p>
            <w:pPr>
              <w:spacing w:after="0"/>
            </w:pPr>
            <w:r/>
            <w:r>
              <w:rPr>
                <w:rFonts w:ascii="Arial" w:hAnsi="Arial"/>
                <w:b/>
                <w:color w:val="FFFFFF"/>
                <w:sz w:val="14"/>
              </w:rPr>
              <w:t>Prompt (tel quel)</w:t>
            </w:r>
          </w:p>
        </w:tc>
        <w:tc>
          <w:tcPr>
            <w:tcW w:type="dxa" w:w="3408"/>
            <w:vAlign w:val="center"/>
            <w:shd w:fill="1F3057"/>
          </w:tcPr>
          <w:p>
            <w:pPr>
              <w:spacing w:after="0"/>
            </w:pPr>
            <w:r/>
            <w:r>
              <w:rPr>
                <w:rFonts w:ascii="Arial" w:hAnsi="Arial"/>
                <w:b/>
                <w:color w:val="FFFFFF"/>
                <w:sz w:val="14"/>
              </w:rPr>
              <w:t>Ce que nous en avons retenu</w:t>
            </w:r>
          </w:p>
        </w:tc>
        <w:tc>
          <w:tcPr>
            <w:tcW w:type="dxa" w:w="3408"/>
            <w:vAlign w:val="center"/>
            <w:shd w:fill="1F3057"/>
          </w:tcPr>
          <w:p>
            <w:pPr>
              <w:spacing w:after="0"/>
            </w:pPr>
            <w:r/>
            <w:r>
              <w:rPr>
                <w:rFonts w:ascii="Arial" w:hAnsi="Arial"/>
                <w:b/>
                <w:color w:val="FFFFFF"/>
                <w:sz w:val="14"/>
              </w:rPr>
              <w:t>Ce que nous avons corrigé ou écarté, et pourquoi</w:t>
            </w:r>
          </w:p>
        </w:tc>
      </w:tr>
      <w:tr>
        <w:tc>
          <w:tcPr>
            <w:tcW w:type="dxa" w:w="3408"/>
            <w:vAlign w:val="center"/>
          </w:tcPr>
          <w:p>
            <w:pPr>
              <w:spacing w:after="0"/>
            </w:pPr>
            <w:r/>
            <w:r>
              <w:rPr>
                <w:rFonts w:ascii="Arial" w:hAnsi="Arial"/>
                <w:b w:val="0"/>
                <w:sz w:val="14"/>
              </w:rPr>
              <w:t>“i want you to do me one of these missions only one and do it perfectly and do waht is demanded in the image as well here is my work so far complete it if it's missingfrom tp5”</w:t>
            </w:r>
          </w:p>
        </w:tc>
        <w:tc>
          <w:tcPr>
            <w:tcW w:type="dxa" w:w="3408"/>
            <w:vAlign w:val="center"/>
          </w:tcPr>
          <w:p>
            <w:pPr>
              <w:spacing w:after="0"/>
            </w:pPr>
            <w:r/>
            <w:r>
              <w:rPr>
                <w:rFonts w:ascii="Arial" w:hAnsi="Arial"/>
                <w:b w:val="0"/>
                <w:sz w:val="14"/>
              </w:rPr>
              <w:t>Terminer les livrables Atelier 5, choisir une seule mission Atelier 6 et expliquer la solution ainsi que les tests.</w:t>
            </w:r>
          </w:p>
        </w:tc>
        <w:tc>
          <w:tcPr>
            <w:tcW w:type="dxa" w:w="3408"/>
            <w:vAlign w:val="center"/>
          </w:tcPr>
          <w:p>
            <w:pPr>
              <w:spacing w:after="0"/>
            </w:pPr>
            <w:r/>
            <w:r>
              <w:rPr>
                <w:rFonts w:ascii="Arial" w:hAnsi="Arial"/>
                <w:b w:val="0"/>
                <w:sz w:val="14"/>
              </w:rPr>
              <w:t>Ne pas supposer que le LocationManager du sujet est présent dans l’archive. Adapter les packages/getters au projet réel ; ne pas prétendre que le serveur a été exécuté si la compilation n’a pas pu être vérifiée ici.</w:t>
            </w:r>
          </w:p>
        </w:tc>
      </w:tr>
    </w:tbl>
    <w:p>
      <w:pPr>
        <w:pStyle w:val="Heading1"/>
      </w:pPr>
      <w:r>
        <w:t>7. Vérification et limites</w:t>
      </w:r>
    </w:p>
    <w:p>
      <w:r>
        <w:t>Les fichiers ont été inspectés et les fichiers JSON/XML de la collection Postman et du pom.xml ont été vérifiés syntaxiquement. L’exécution de Maven n’a pas pu être effectuée dans l’environnement de préparation : aucun exécutable Maven n’était installé et le Maven Wrapper n’a pas pu télécharger la distribution Maven depuis Maven Central. La compilation finale doit donc être confirmée dans IntelliJ ou un terminal disposant d’un accès aux dépendances. Le profil H2 `demo` est inclus pour éviter de dépendre de MySQL lors des essais manuels.</w:t>
      </w:r>
    </w:p>
    <w:p>
      <w:r>
        <w:t>À l’oral : « Nous avons isolé la règle de calcul dans un service dédié. La simulation et, ultérieurement, la confirmation peuvent réutiliser les mêmes règles sans déclencher les mêmes effets de bord. Le principe SRP réduit le risque de duplication et de régression. »</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0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0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305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