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Dataset Selection &amp; Operational Context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selected the corporate client dataset from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 PowerCo's SME customer churn analysis project 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understanding electricity consumption dynamics is critical for commercial energy suppliers. In retail utilities, anticipating forward energy demand directly informs contract capacity bookings, fixed tariff structures, and client renewal risk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quantify this core relationship, I performed a simple linear regression using spreadsheet tools, modeling 12-month forecasted electricity consumption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hd w:fill="d9d9d9" w:val="clear"/>
          <w:rtl w:val="0"/>
        </w:rPr>
        <w:t xml:space="preserve">forecast_cons_12m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kWh) as a dependent variable of historical annual electricity consumption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c4c7c5"/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cons_12m</w:t>
      </w:r>
      <w:r w:rsidDel="00000000" w:rsidR="00000000" w:rsidRPr="00000000">
        <w:rPr>
          <w:rFonts w:ascii="Arial" w:cs="Arial" w:eastAsia="Arial" w:hAnsi="Arial"/>
          <w:shd w:fill="cccc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kWh).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Regression Model Output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Regression Equation: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0.1377x - 312.11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Correlation Coefficient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r)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0.8661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Coefficient of Determination (r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0.7501 (75.01</w:t>
      </w:r>
      <w:r w:rsidDel="00000000" w:rsidR="00000000" w:rsidRPr="00000000">
        <w:rPr>
          <w:color w:val="1f1f1f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Metric /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Notation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Independent Variable</w:t>
            </w:r>
          </w:p>
        </w:tc>
        <w:tc>
          <w:tcPr>
            <w:tcBorders>
              <w:top w:color="666666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d9d9d9" w:val="clear"/>
                <w:rtl w:val="0"/>
              </w:rPr>
              <w:t xml:space="preserve">cons_12m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(kWh)</w:t>
            </w:r>
          </w:p>
        </w:tc>
        <w:tc>
          <w:tcPr>
            <w:tcBorders>
              <w:top w:color="666666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Past 12-month electricity consumption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Dependent 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d9d9d9" w:val="clear"/>
                <w:rtl w:val="0"/>
              </w:rPr>
              <w:t xml:space="preserve">forecast_cons_12m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(kWh)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Projected 12-month electricity consumption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Slope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0.1377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+137.7 kWh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forecasted per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+1,000 kWh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past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Y-Intercept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-312.11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kWh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Baseline adjustment for dormant or suspended account</w:t>
            </w:r>
            <w:r w:rsidDel="00000000" w:rsidR="00000000" w:rsidRPr="00000000">
              <w:rPr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Pearson Correlation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0.8661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Strong direct linear relationship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R-Squared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0.7501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75.01\% of forecast variance explained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</w:rPr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Interpretation of the Slope and Y-Intercept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Slope (0.1377):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each additional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1,000 kWh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consumed by an enterprise client over the preceding 12 months, the utility model projects an average increase of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137.7kWh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baseline contracted consumption. This scaling factor reflects standard contract normalization across single-rate and off-peak commercial customer profiles.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Y-Intercept (-312.11 kWh):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the hypothetical scenario where an account records zero historical power usage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(x = 0),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model projects a baseline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-312.11 kWh.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negative physical energy consumption cannot occur on a meter, this negative offset functions as an empirical downward correction accounting for seasonal dormancy, vacant commercial sites, and service suspensions.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 Confidence (r and 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have high confidence in the explanatory power of this linear mode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correlation coefficient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 = 0.8661)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confirms a strong positive linear association between past power consumption and future demand. Furthermore, the r</w:t>
      </w:r>
      <w:r w:rsidDel="00000000" w:rsidR="00000000" w:rsidRPr="00000000">
        <w:rPr>
          <w:color w:val="1f1f1f"/>
          <w:rtl w:val="0"/>
        </w:rPr>
        <w:t xml:space="preserve">²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value 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0.7501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indicates that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75.01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the total variance in forecasted electricity consumption is directly explained by historical 12-month usage. The remaining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24.99%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variance is driven by individual contract attributes, including off-peak rate spreads, peak power capacity (</w:t>
      </w:r>
      <w:r w:rsidDel="00000000" w:rsidR="00000000" w:rsidRPr="00000000">
        <w:rPr>
          <w:rFonts w:ascii="Arial" w:cs="Arial" w:eastAsia="Arial" w:hAnsi="Arial"/>
          <w:color w:val="1f1f1f"/>
          <w:shd w:fill="c4c7c5" w:val="clear"/>
          <w:rtl w:val="0"/>
        </w:rPr>
        <w:t xml:space="preserve">pow_max),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negotiated tariff discounts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1f1f1f"/>
          <w:shd w:fill="c4c7c5" w:val="clear"/>
          <w:rtl w:val="0"/>
        </w:rPr>
        <w:t xml:space="preserve">forecast_discount_energy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 Prediction vs. Actual Data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evaluate the model's predictive accuracy on actual client records: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Selected Account: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c4c7c5" w:val="clear"/>
          <w:rtl w:val="0"/>
        </w:rPr>
        <w:t xml:space="preserve">id = 1aa498825382410b098937d65c4ec26d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Historical Consumption (x):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8,302kWh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 Prediction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0.13766 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8302 - 312.11 = 830.74 kWh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Actual Recorded Forecast (y):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796.94 kWh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Residual (Prediction Error):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Actual - Predicted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= 796.94 - 830.74 = -33.80 kWh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predicted volume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830.74 kWh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tracks the actual recorded figure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796.94 kWh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closely, yielding an error margin of 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4.3%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demonstrates that linear trendlines offer a dependable baseline to benchmark expected usage before deploying complex classification algorithms.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rinedrtjst/-SME-Churn-Analysis-Retention-Strategy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