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6"/>
          <w:szCs w:val="46"/>
        </w:rPr>
        <w:t xml:space="preserve">VISHWAS NATIONAL BANK</w:t>
      </w:r>
    </w:p>
    <w:p>
      <w:pPr>
        <w:spacing w:after="300"/>
        <w:jc w:val="center"/>
      </w:pPr>
      <w:r>
        <w:rPr>
          <w:i/>
          <w:iCs/>
          <w:color w:val="595959"/>
          <w:sz w:val="22"/>
          <w:szCs w:val="22"/>
        </w:rPr>
        <w:t xml:space="preserve">Trust You Can Bank On</w:t>
      </w:r>
    </w:p>
    <w:p>
      <w:pPr>
        <w:pBdr>
          <w:top w:val="single" w:color="1F3864" w:sz="6"/>
          <w:bottom w:val="single" w:color="1F3864" w:sz="6"/>
        </w:pBdr>
        <w:spacing w:after="60"/>
        <w:jc w:val="center"/>
      </w:pPr>
      <w:r>
        <w:rPr>
          <w:b/>
          <w:bCs/>
          <w:sz w:val="36"/>
          <w:szCs w:val="36"/>
        </w:rPr>
        <w:t xml:space="preserve">HOME LOAN AGREEMENT</w:t>
      </w:r>
    </w:p>
    <w:p>
      <w:pPr>
        <w:spacing w:after="300"/>
        <w:jc w:val="center"/>
      </w:pPr>
      <w:r>
        <w:rPr>
          <w:i/>
          <w:iCs/>
          <w:sz w:val="26"/>
          <w:szCs w:val="26"/>
        </w:rPr>
        <w:t xml:space="preserve">Terms and Conditions</w:t>
      </w:r>
    </w:p>
    <w:p>
      <w:pPr>
        <w:spacing w:after="140" w:before="300"/>
      </w:pPr>
      <w:r>
        <w:rPr>
          <w:b/>
          <w:bCs/>
          <w:color w:val="1F3864"/>
          <w:sz w:val="27"/>
          <w:szCs w:val="27"/>
        </w:rPr>
        <w:t xml:space="preserve">Schedule-cum-Key Fact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gridCol w:w="2000"/>
        <w:gridCol w:w="3040"/>
      </w:tblGrid>
      <w:tr>
        <w:tc>
          <w:tcPr>
            <w:tcW w:type="dxa" w:w="2000"/>
            <w:shd w:fill="F2F2F2" w:val="clear"/>
            <w:tcMar>
              <w:top w:type="dxa" w:w="60"/>
              <w:left w:type="dxa" w:w="80"/>
              <w:bottom w:type="dxa" w:w="60"/>
              <w:right w:type="dxa" w:w="80"/>
            </w:tcMar>
          </w:tcPr>
          <w:p>
            <w:r>
              <w:rPr>
                <w:b/>
                <w:bCs/>
                <w:sz w:val="21"/>
                <w:szCs w:val="21"/>
              </w:rPr>
              <w:t xml:space="preserve">Loan Account No.</w:t>
            </w:r>
          </w:p>
        </w:tc>
        <w:tc>
          <w:tcPr>
            <w:tcW w:type="dxa" w:w="3040"/>
            <w:tcMar>
              <w:top w:type="dxa" w:w="60"/>
              <w:left w:type="dxa" w:w="80"/>
              <w:bottom w:type="dxa" w:w="60"/>
              <w:right w:type="dxa" w:w="80"/>
            </w:tcMar>
          </w:tcPr>
          <w:p>
            <w:r>
              <w:rPr>
                <w:b w:val="false"/>
                <w:bCs w:val="false"/>
                <w:sz w:val="21"/>
                <w:szCs w:val="21"/>
              </w:rPr>
              <w:t xml:space="preserve">VNB/HL/2026/0091273</w:t>
            </w:r>
          </w:p>
        </w:tc>
        <w:tc>
          <w:tcPr>
            <w:tcW w:type="dxa" w:w="2000"/>
            <w:shd w:fill="F2F2F2" w:val="clear"/>
            <w:tcMar>
              <w:top w:type="dxa" w:w="60"/>
              <w:left w:type="dxa" w:w="80"/>
              <w:bottom w:type="dxa" w:w="60"/>
              <w:right w:type="dxa" w:w="80"/>
            </w:tcMar>
          </w:tcPr>
          <w:p>
            <w:r>
              <w:rPr>
                <w:b/>
                <w:bCs/>
                <w:sz w:val="21"/>
                <w:szCs w:val="21"/>
              </w:rPr>
              <w:t xml:space="preserve">Date of Signing</w:t>
            </w:r>
          </w:p>
        </w:tc>
        <w:tc>
          <w:tcPr>
            <w:tcW w:type="dxa" w:w="3040"/>
            <w:tcMar>
              <w:top w:type="dxa" w:w="60"/>
              <w:left w:type="dxa" w:w="80"/>
              <w:bottom w:type="dxa" w:w="60"/>
              <w:right w:type="dxa" w:w="80"/>
            </w:tcMar>
          </w:tcPr>
          <w:p>
            <w:r>
              <w:rPr>
                <w:b w:val="false"/>
                <w:bCs w:val="false"/>
                <w:sz w:val="21"/>
                <w:szCs w:val="21"/>
              </w:rPr>
              <w:t xml:space="preserve">18/02/2026</w:t>
            </w:r>
          </w:p>
        </w:tc>
      </w:tr>
      <w:tr>
        <w:tc>
          <w:tcPr>
            <w:tcW w:type="dxa" w:w="2000"/>
            <w:shd w:fill="F2F2F2" w:val="clear"/>
            <w:tcMar>
              <w:top w:type="dxa" w:w="60"/>
              <w:left w:type="dxa" w:w="80"/>
              <w:bottom w:type="dxa" w:w="60"/>
              <w:right w:type="dxa" w:w="80"/>
            </w:tcMar>
          </w:tcPr>
          <w:p>
            <w:r>
              <w:rPr>
                <w:b/>
                <w:bCs/>
                <w:sz w:val="21"/>
                <w:szCs w:val="21"/>
              </w:rPr>
              <w:t xml:space="preserve">Place of Signing</w:t>
            </w:r>
          </w:p>
        </w:tc>
        <w:tc>
          <w:tcPr>
            <w:tcW w:type="dxa" w:w="3040"/>
            <w:tcMar>
              <w:top w:type="dxa" w:w="60"/>
              <w:left w:type="dxa" w:w="80"/>
              <w:bottom w:type="dxa" w:w="60"/>
              <w:right w:type="dxa" w:w="80"/>
            </w:tcMar>
          </w:tcPr>
          <w:p>
            <w:r>
              <w:rPr>
                <w:b w:val="false"/>
                <w:bCs w:val="false"/>
                <w:sz w:val="21"/>
                <w:szCs w:val="21"/>
              </w:rPr>
              <w:t xml:space="preserve">Pune</w:t>
            </w:r>
          </w:p>
        </w:tc>
        <w:tc>
          <w:tcPr>
            <w:tcW w:type="dxa" w:w="2000"/>
            <w:shd w:fill="F2F2F2" w:val="clear"/>
            <w:tcMar>
              <w:top w:type="dxa" w:w="60"/>
              <w:left w:type="dxa" w:w="80"/>
              <w:bottom w:type="dxa" w:w="60"/>
              <w:right w:type="dxa" w:w="80"/>
            </w:tcMar>
          </w:tcPr>
          <w:p>
            <w:r>
              <w:rPr>
                <w:b/>
                <w:bCs/>
                <w:sz w:val="21"/>
                <w:szCs w:val="21"/>
              </w:rPr>
              <w:t xml:space="preserve">Bank Branch / IFSC</w:t>
            </w:r>
          </w:p>
        </w:tc>
        <w:tc>
          <w:tcPr>
            <w:tcW w:type="dxa" w:w="3040"/>
            <w:tcMar>
              <w:top w:type="dxa" w:w="60"/>
              <w:left w:type="dxa" w:w="80"/>
              <w:bottom w:type="dxa" w:w="60"/>
              <w:right w:type="dxa" w:w="80"/>
            </w:tcMar>
          </w:tcPr>
          <w:p>
            <w:r>
              <w:rPr>
                <w:b w:val="false"/>
                <w:bCs w:val="false"/>
                <w:sz w:val="21"/>
                <w:szCs w:val="21"/>
              </w:rPr>
              <w:t xml:space="preserve">Kothrud Branch, Pune / VNBB0001123</w:t>
            </w:r>
          </w:p>
        </w:tc>
      </w:tr>
      <w:tr>
        <w:tc>
          <w:tcPr>
            <w:tcW w:type="dxa" w:w="2000"/>
            <w:shd w:fill="F2F2F2" w:val="clear"/>
            <w:tcMar>
              <w:top w:type="dxa" w:w="60"/>
              <w:left w:type="dxa" w:w="80"/>
              <w:bottom w:type="dxa" w:w="60"/>
              <w:right w:type="dxa" w:w="80"/>
            </w:tcMar>
          </w:tcPr>
          <w:p>
            <w:r>
              <w:rPr>
                <w:b/>
                <w:bCs/>
                <w:sz w:val="21"/>
                <w:szCs w:val="21"/>
              </w:rPr>
              <w:t xml:space="preserve">Name of Borrower</w:t>
            </w:r>
          </w:p>
        </w:tc>
        <w:tc>
          <w:tcPr>
            <w:tcW w:type="dxa" w:w="3040"/>
            <w:tcMar>
              <w:top w:type="dxa" w:w="60"/>
              <w:left w:type="dxa" w:w="80"/>
              <w:bottom w:type="dxa" w:w="60"/>
              <w:right w:type="dxa" w:w="80"/>
            </w:tcMar>
          </w:tcPr>
          <w:p>
            <w:r>
              <w:rPr>
                <w:b w:val="false"/>
                <w:bCs w:val="false"/>
                <w:sz w:val="21"/>
                <w:szCs w:val="21"/>
              </w:rPr>
              <w:t xml:space="preserve">Mr. Arjun Deshmukh</w:t>
            </w:r>
          </w:p>
        </w:tc>
        <w:tc>
          <w:tcPr>
            <w:tcW w:type="dxa" w:w="2000"/>
            <w:shd w:fill="F2F2F2" w:val="clear"/>
            <w:tcMar>
              <w:top w:type="dxa" w:w="60"/>
              <w:left w:type="dxa" w:w="80"/>
              <w:bottom w:type="dxa" w:w="60"/>
              <w:right w:type="dxa" w:w="80"/>
            </w:tcMar>
          </w:tcPr>
          <w:p>
            <w:r>
              <w:rPr>
                <w:b/>
                <w:bCs/>
                <w:sz w:val="21"/>
                <w:szCs w:val="21"/>
              </w:rPr>
              <w:t xml:space="preserve">Name of Co-Borrower</w:t>
            </w:r>
          </w:p>
        </w:tc>
        <w:tc>
          <w:tcPr>
            <w:tcW w:type="dxa" w:w="3040"/>
            <w:tcMar>
              <w:top w:type="dxa" w:w="60"/>
              <w:left w:type="dxa" w:w="80"/>
              <w:bottom w:type="dxa" w:w="60"/>
              <w:right w:type="dxa" w:w="80"/>
            </w:tcMar>
          </w:tcPr>
          <w:p>
            <w:r>
              <w:rPr>
                <w:b w:val="false"/>
                <w:bCs w:val="false"/>
                <w:sz w:val="21"/>
                <w:szCs w:val="21"/>
              </w:rPr>
              <w:t xml:space="preserve">Mrs. Priya Deshmukh</w:t>
            </w:r>
          </w:p>
        </w:tc>
      </w:tr>
      <w:tr>
        <w:tc>
          <w:tcPr>
            <w:tcW w:type="dxa" w:w="2000"/>
            <w:shd w:fill="F2F2F2" w:val="clear"/>
            <w:tcMar>
              <w:top w:type="dxa" w:w="60"/>
              <w:left w:type="dxa" w:w="80"/>
              <w:bottom w:type="dxa" w:w="60"/>
              <w:right w:type="dxa" w:w="80"/>
            </w:tcMar>
          </w:tcPr>
          <w:p>
            <w:r>
              <w:rPr>
                <w:b/>
                <w:bCs/>
                <w:sz w:val="21"/>
                <w:szCs w:val="21"/>
              </w:rPr>
              <w:t xml:space="preserve">Borrower Address</w:t>
            </w:r>
          </w:p>
        </w:tc>
        <w:tc>
          <w:tcPr>
            <w:tcW w:type="dxa" w:w="3040"/>
            <w:tcMar>
              <w:top w:type="dxa" w:w="60"/>
              <w:left w:type="dxa" w:w="80"/>
              <w:bottom w:type="dxa" w:w="60"/>
              <w:right w:type="dxa" w:w="80"/>
            </w:tcMar>
          </w:tcPr>
          <w:p>
            <w:r>
              <w:rPr>
                <w:b w:val="false"/>
                <w:bCs w:val="false"/>
                <w:sz w:val="21"/>
                <w:szCs w:val="21"/>
              </w:rPr>
              <w:t xml:space="preserve">House No. 12, Sundervan Society, Kothrud, Pune – 411038</w:t>
            </w:r>
          </w:p>
        </w:tc>
        <w:tc>
          <w:tcPr>
            <w:tcW w:type="dxa" w:w="2000"/>
            <w:shd w:fill="F2F2F2" w:val="clear"/>
            <w:tcMar>
              <w:top w:type="dxa" w:w="60"/>
              <w:left w:type="dxa" w:w="80"/>
              <w:bottom w:type="dxa" w:w="60"/>
              <w:right w:type="dxa" w:w="80"/>
            </w:tcMar>
          </w:tcPr>
          <w:p>
            <w:r>
              <w:rPr>
                <w:b/>
                <w:bCs/>
                <w:sz w:val="21"/>
                <w:szCs w:val="21"/>
              </w:rPr>
              <w:t xml:space="preserve">PAN</w:t>
            </w:r>
          </w:p>
        </w:tc>
        <w:tc>
          <w:tcPr>
            <w:tcW w:type="dxa" w:w="3040"/>
            <w:tcMar>
              <w:top w:type="dxa" w:w="60"/>
              <w:left w:type="dxa" w:w="80"/>
              <w:bottom w:type="dxa" w:w="60"/>
              <w:right w:type="dxa" w:w="80"/>
            </w:tcMar>
          </w:tcPr>
          <w:p>
            <w:r>
              <w:rPr>
                <w:b w:val="false"/>
                <w:bCs w:val="false"/>
                <w:sz w:val="21"/>
                <w:szCs w:val="21"/>
              </w:rPr>
              <w:t xml:space="preserve">ADXPD6721F</w:t>
            </w:r>
          </w:p>
        </w:tc>
      </w:tr>
      <w:tr>
        <w:tc>
          <w:tcPr>
            <w:tcW w:type="dxa" w:w="2000"/>
            <w:shd w:fill="F2F2F2" w:val="clear"/>
            <w:tcMar>
              <w:top w:type="dxa" w:w="60"/>
              <w:left w:type="dxa" w:w="80"/>
              <w:bottom w:type="dxa" w:w="60"/>
              <w:right w:type="dxa" w:w="80"/>
            </w:tcMar>
          </w:tcPr>
          <w:p>
            <w:r>
              <w:rPr>
                <w:b/>
                <w:bCs/>
                <w:sz w:val="21"/>
                <w:szCs w:val="21"/>
              </w:rPr>
              <w:t xml:space="preserve">Property Financed</w:t>
            </w:r>
          </w:p>
        </w:tc>
        <w:tc>
          <w:tcPr>
            <w:tcW w:type="dxa" w:w="3040"/>
            <w:tcMar>
              <w:top w:type="dxa" w:w="60"/>
              <w:left w:type="dxa" w:w="80"/>
              <w:bottom w:type="dxa" w:w="60"/>
              <w:right w:type="dxa" w:w="80"/>
            </w:tcMar>
          </w:tcPr>
          <w:p>
            <w:r>
              <w:rPr>
                <w:b w:val="false"/>
                <w:bCs w:val="false"/>
                <w:sz w:val="21"/>
                <w:szCs w:val="21"/>
              </w:rPr>
              <w:t xml:space="preserve">Flat No. 703, Silver Springs Apartments, Kothrud, Pune</w:t>
            </w:r>
          </w:p>
        </w:tc>
        <w:tc>
          <w:tcPr>
            <w:tcW w:type="dxa" w:w="2000"/>
            <w:shd w:fill="F2F2F2" w:val="clear"/>
            <w:tcMar>
              <w:top w:type="dxa" w:w="60"/>
              <w:left w:type="dxa" w:w="80"/>
              <w:bottom w:type="dxa" w:w="60"/>
              <w:right w:type="dxa" w:w="80"/>
            </w:tcMar>
          </w:tcPr>
          <w:p>
            <w:r>
              <w:rPr>
                <w:b/>
                <w:bCs/>
                <w:sz w:val="21"/>
                <w:szCs w:val="21"/>
              </w:rPr>
              <w:t xml:space="preserve">Registered Value of Property</w:t>
            </w:r>
          </w:p>
        </w:tc>
        <w:tc>
          <w:tcPr>
            <w:tcW w:type="dxa" w:w="3040"/>
            <w:tcMar>
              <w:top w:type="dxa" w:w="60"/>
              <w:left w:type="dxa" w:w="80"/>
              <w:bottom w:type="dxa" w:w="60"/>
              <w:right w:type="dxa" w:w="80"/>
            </w:tcMar>
          </w:tcPr>
          <w:p>
            <w:r>
              <w:rPr>
                <w:b w:val="false"/>
                <w:bCs w:val="false"/>
                <w:sz w:val="21"/>
                <w:szCs w:val="21"/>
              </w:rPr>
              <w:t xml:space="preserve">Rs. 88,50,000/-</w:t>
            </w:r>
          </w:p>
        </w:tc>
      </w:tr>
      <w:tr>
        <w:tc>
          <w:tcPr>
            <w:tcW w:type="dxa" w:w="2000"/>
            <w:shd w:fill="F2F2F2" w:val="clear"/>
            <w:tcMar>
              <w:top w:type="dxa" w:w="60"/>
              <w:left w:type="dxa" w:w="80"/>
              <w:bottom w:type="dxa" w:w="60"/>
              <w:right w:type="dxa" w:w="80"/>
            </w:tcMar>
          </w:tcPr>
          <w:p>
            <w:r>
              <w:rPr>
                <w:b/>
                <w:bCs/>
                <w:sz w:val="21"/>
                <w:szCs w:val="21"/>
              </w:rPr>
              <w:t xml:space="preserve">Loan Amount</w:t>
            </w:r>
          </w:p>
        </w:tc>
        <w:tc>
          <w:tcPr>
            <w:tcW w:type="dxa" w:w="3040"/>
            <w:tcMar>
              <w:top w:type="dxa" w:w="60"/>
              <w:left w:type="dxa" w:w="80"/>
              <w:bottom w:type="dxa" w:w="60"/>
              <w:right w:type="dxa" w:w="80"/>
            </w:tcMar>
          </w:tcPr>
          <w:p>
            <w:r>
              <w:rPr>
                <w:b w:val="false"/>
                <w:bCs w:val="false"/>
                <w:sz w:val="21"/>
                <w:szCs w:val="21"/>
              </w:rPr>
              <w:t xml:space="preserve">Rs. 62,00,000/- (Rupees Sixty-Two Lakh Only)</w:t>
            </w:r>
          </w:p>
        </w:tc>
        <w:tc>
          <w:tcPr>
            <w:tcW w:type="dxa" w:w="2000"/>
            <w:shd w:fill="F2F2F2" w:val="clear"/>
            <w:tcMar>
              <w:top w:type="dxa" w:w="60"/>
              <w:left w:type="dxa" w:w="80"/>
              <w:bottom w:type="dxa" w:w="60"/>
              <w:right w:type="dxa" w:w="80"/>
            </w:tcMar>
          </w:tcPr>
          <w:p>
            <w:r>
              <w:rPr>
                <w:b/>
                <w:bCs/>
                <w:sz w:val="21"/>
                <w:szCs w:val="21"/>
              </w:rPr>
              <w:t xml:space="preserve">Loan-to-Value (LTV)</w:t>
            </w:r>
          </w:p>
        </w:tc>
        <w:tc>
          <w:tcPr>
            <w:tcW w:type="dxa" w:w="3040"/>
            <w:tcMar>
              <w:top w:type="dxa" w:w="60"/>
              <w:left w:type="dxa" w:w="80"/>
              <w:bottom w:type="dxa" w:w="60"/>
              <w:right w:type="dxa" w:w="80"/>
            </w:tcMar>
          </w:tcPr>
          <w:p>
            <w:r>
              <w:rPr>
                <w:b w:val="false"/>
                <w:bCs w:val="false"/>
                <w:sz w:val="21"/>
                <w:szCs w:val="21"/>
              </w:rPr>
              <w:t xml:space="preserve">70.0%</w:t>
            </w:r>
          </w:p>
        </w:tc>
      </w:tr>
      <w:tr>
        <w:tc>
          <w:tcPr>
            <w:tcW w:type="dxa" w:w="2000"/>
            <w:shd w:fill="F2F2F2" w:val="clear"/>
            <w:tcMar>
              <w:top w:type="dxa" w:w="60"/>
              <w:left w:type="dxa" w:w="80"/>
              <w:bottom w:type="dxa" w:w="60"/>
              <w:right w:type="dxa" w:w="80"/>
            </w:tcMar>
          </w:tcPr>
          <w:p>
            <w:r>
              <w:rPr>
                <w:b/>
                <w:bCs/>
                <w:sz w:val="21"/>
                <w:szCs w:val="21"/>
              </w:rPr>
              <w:t xml:space="preserve">Loan Tenor</w:t>
            </w:r>
          </w:p>
        </w:tc>
        <w:tc>
          <w:tcPr>
            <w:tcW w:type="dxa" w:w="3040"/>
            <w:tcMar>
              <w:top w:type="dxa" w:w="60"/>
              <w:left w:type="dxa" w:w="80"/>
              <w:bottom w:type="dxa" w:w="60"/>
              <w:right w:type="dxa" w:w="80"/>
            </w:tcMar>
          </w:tcPr>
          <w:p>
            <w:r>
              <w:rPr>
                <w:b w:val="false"/>
                <w:bCs w:val="false"/>
                <w:sz w:val="21"/>
                <w:szCs w:val="21"/>
              </w:rPr>
              <w:t xml:space="preserve">240 Months (20 Years)</w:t>
            </w:r>
          </w:p>
        </w:tc>
        <w:tc>
          <w:tcPr>
            <w:tcW w:type="dxa" w:w="2000"/>
            <w:shd w:fill="F2F2F2" w:val="clear"/>
            <w:tcMar>
              <w:top w:type="dxa" w:w="60"/>
              <w:left w:type="dxa" w:w="80"/>
              <w:bottom w:type="dxa" w:w="60"/>
              <w:right w:type="dxa" w:w="80"/>
            </w:tcMar>
          </w:tcPr>
          <w:p>
            <w:r>
              <w:rPr>
                <w:b/>
                <w:bCs/>
                <w:sz w:val="21"/>
                <w:szCs w:val="21"/>
              </w:rPr>
              <w:t xml:space="preserve">Purpose</w:t>
            </w:r>
          </w:p>
        </w:tc>
        <w:tc>
          <w:tcPr>
            <w:tcW w:type="dxa" w:w="3040"/>
            <w:tcMar>
              <w:top w:type="dxa" w:w="60"/>
              <w:left w:type="dxa" w:w="80"/>
              <w:bottom w:type="dxa" w:w="60"/>
              <w:right w:type="dxa" w:w="80"/>
            </w:tcMar>
          </w:tcPr>
          <w:p>
            <w:r>
              <w:rPr>
                <w:b w:val="false"/>
                <w:bCs w:val="false"/>
                <w:sz w:val="21"/>
                <w:szCs w:val="21"/>
              </w:rPr>
              <w:t xml:space="preserve">Purchase of self-occupied residential flat</w:t>
            </w:r>
          </w:p>
        </w:tc>
      </w:tr>
      <w:tr>
        <w:tc>
          <w:tcPr>
            <w:tcW w:type="dxa" w:w="2000"/>
            <w:shd w:fill="F2F2F2" w:val="clear"/>
            <w:tcMar>
              <w:top w:type="dxa" w:w="60"/>
              <w:left w:type="dxa" w:w="80"/>
              <w:bottom w:type="dxa" w:w="60"/>
              <w:right w:type="dxa" w:w="80"/>
            </w:tcMar>
          </w:tcPr>
          <w:p>
            <w:r>
              <w:rPr>
                <w:b/>
                <w:bCs/>
                <w:sz w:val="21"/>
                <w:szCs w:val="21"/>
              </w:rPr>
              <w:t xml:space="preserve">Interest Rate</w:t>
            </w:r>
          </w:p>
        </w:tc>
        <w:tc>
          <w:tcPr>
            <w:tcW w:type="dxa" w:w="3040"/>
            <w:tcMar>
              <w:top w:type="dxa" w:w="60"/>
              <w:left w:type="dxa" w:w="80"/>
              <w:bottom w:type="dxa" w:w="60"/>
              <w:right w:type="dxa" w:w="80"/>
            </w:tcMar>
          </w:tcPr>
          <w:p>
            <w:r>
              <w:rPr>
                <w:b w:val="false"/>
                <w:bCs w:val="false"/>
                <w:sz w:val="21"/>
                <w:szCs w:val="21"/>
              </w:rPr>
              <w:t xml:space="preserve">9.05% p.a., Floating (Repo Rate 6.50% + Spread 2.55%)</w:t>
            </w:r>
          </w:p>
        </w:tc>
        <w:tc>
          <w:tcPr>
            <w:tcW w:type="dxa" w:w="2000"/>
            <w:shd w:fill="F2F2F2" w:val="clear"/>
            <w:tcMar>
              <w:top w:type="dxa" w:w="60"/>
              <w:left w:type="dxa" w:w="80"/>
              <w:bottom w:type="dxa" w:w="60"/>
              <w:right w:type="dxa" w:w="80"/>
            </w:tcMar>
          </w:tcPr>
          <w:p>
            <w:r>
              <w:rPr>
                <w:b/>
                <w:bCs/>
                <w:sz w:val="21"/>
                <w:szCs w:val="21"/>
              </w:rPr>
              <w:t xml:space="preserve">Benchmark Reset</w:t>
            </w:r>
          </w:p>
        </w:tc>
        <w:tc>
          <w:tcPr>
            <w:tcW w:type="dxa" w:w="3040"/>
            <w:tcMar>
              <w:top w:type="dxa" w:w="60"/>
              <w:left w:type="dxa" w:w="80"/>
              <w:bottom w:type="dxa" w:w="60"/>
              <w:right w:type="dxa" w:w="80"/>
            </w:tcMar>
          </w:tcPr>
          <w:p>
            <w:r>
              <w:rPr>
                <w:b w:val="false"/>
                <w:bCs w:val="false"/>
                <w:sz w:val="21"/>
                <w:szCs w:val="21"/>
              </w:rPr>
              <w:t xml:space="preserve">Quarterly (1st of Jan/Apr/Jul/Oct)</w:t>
            </w:r>
          </w:p>
        </w:tc>
      </w:tr>
      <w:tr>
        <w:tc>
          <w:tcPr>
            <w:tcW w:type="dxa" w:w="2000"/>
            <w:shd w:fill="F2F2F2" w:val="clear"/>
            <w:tcMar>
              <w:top w:type="dxa" w:w="60"/>
              <w:left w:type="dxa" w:w="80"/>
              <w:bottom w:type="dxa" w:w="60"/>
              <w:right w:type="dxa" w:w="80"/>
            </w:tcMar>
          </w:tcPr>
          <w:p>
            <w:r>
              <w:rPr>
                <w:b/>
                <w:bCs/>
                <w:sz w:val="21"/>
                <w:szCs w:val="21"/>
              </w:rPr>
              <w:t xml:space="preserve">Installment Frequency</w:t>
            </w:r>
          </w:p>
        </w:tc>
        <w:tc>
          <w:tcPr>
            <w:tcW w:type="dxa" w:w="3040"/>
            <w:tcMar>
              <w:top w:type="dxa" w:w="60"/>
              <w:left w:type="dxa" w:w="80"/>
              <w:bottom w:type="dxa" w:w="60"/>
              <w:right w:type="dxa" w:w="80"/>
            </w:tcMar>
          </w:tcPr>
          <w:p>
            <w:r>
              <w:rPr>
                <w:b w:val="false"/>
                <w:bCs w:val="false"/>
                <w:sz w:val="21"/>
                <w:szCs w:val="21"/>
              </w:rPr>
              <w:t xml:space="preserve">Monthly</w:t>
            </w:r>
          </w:p>
        </w:tc>
        <w:tc>
          <w:tcPr>
            <w:tcW w:type="dxa" w:w="2000"/>
            <w:shd w:fill="F2F2F2" w:val="clear"/>
            <w:tcMar>
              <w:top w:type="dxa" w:w="60"/>
              <w:left w:type="dxa" w:w="80"/>
              <w:bottom w:type="dxa" w:w="60"/>
              <w:right w:type="dxa" w:w="80"/>
            </w:tcMar>
          </w:tcPr>
          <w:p>
            <w:r>
              <w:rPr>
                <w:b/>
                <w:bCs/>
                <w:sz w:val="21"/>
                <w:szCs w:val="21"/>
              </w:rPr>
              <w:t xml:space="preserve">No. of EMIs</w:t>
            </w:r>
          </w:p>
        </w:tc>
        <w:tc>
          <w:tcPr>
            <w:tcW w:type="dxa" w:w="3040"/>
            <w:tcMar>
              <w:top w:type="dxa" w:w="60"/>
              <w:left w:type="dxa" w:w="80"/>
              <w:bottom w:type="dxa" w:w="60"/>
              <w:right w:type="dxa" w:w="80"/>
            </w:tcMar>
          </w:tcPr>
          <w:p>
            <w:r>
              <w:rPr>
                <w:b w:val="false"/>
                <w:bCs w:val="false"/>
                <w:sz w:val="21"/>
                <w:szCs w:val="21"/>
              </w:rPr>
              <w:t xml:space="preserve">240</w:t>
            </w:r>
          </w:p>
        </w:tc>
      </w:tr>
      <w:tr>
        <w:tc>
          <w:tcPr>
            <w:tcW w:type="dxa" w:w="2000"/>
            <w:shd w:fill="F2F2F2" w:val="clear"/>
            <w:tcMar>
              <w:top w:type="dxa" w:w="60"/>
              <w:left w:type="dxa" w:w="80"/>
              <w:bottom w:type="dxa" w:w="60"/>
              <w:right w:type="dxa" w:w="80"/>
            </w:tcMar>
          </w:tcPr>
          <w:p>
            <w:r>
              <w:rPr>
                <w:b/>
                <w:bCs/>
                <w:sz w:val="21"/>
                <w:szCs w:val="21"/>
              </w:rPr>
              <w:t xml:space="preserve">EMI Amount (at sanction)</w:t>
            </w:r>
          </w:p>
        </w:tc>
        <w:tc>
          <w:tcPr>
            <w:tcW w:type="dxa" w:w="3040"/>
            <w:tcMar>
              <w:top w:type="dxa" w:w="60"/>
              <w:left w:type="dxa" w:w="80"/>
              <w:bottom w:type="dxa" w:w="60"/>
              <w:right w:type="dxa" w:w="80"/>
            </w:tcMar>
          </w:tcPr>
          <w:p>
            <w:r>
              <w:rPr>
                <w:b w:val="false"/>
                <w:bCs w:val="false"/>
                <w:sz w:val="21"/>
                <w:szCs w:val="21"/>
              </w:rPr>
              <w:t xml:space="preserve">Rs. 56,430/- (indicative; varies with benchmark)</w:t>
            </w:r>
          </w:p>
        </w:tc>
        <w:tc>
          <w:tcPr>
            <w:tcW w:type="dxa" w:w="2000"/>
            <w:shd w:fill="F2F2F2" w:val="clear"/>
            <w:tcMar>
              <w:top w:type="dxa" w:w="60"/>
              <w:left w:type="dxa" w:w="80"/>
              <w:bottom w:type="dxa" w:w="60"/>
              <w:right w:type="dxa" w:w="80"/>
            </w:tcMar>
          </w:tcPr>
          <w:p>
            <w:r>
              <w:rPr>
                <w:b/>
                <w:bCs/>
                <w:sz w:val="21"/>
                <w:szCs w:val="21"/>
              </w:rPr>
              <w:t xml:space="preserve">EMI Start Date</w:t>
            </w:r>
          </w:p>
        </w:tc>
        <w:tc>
          <w:tcPr>
            <w:tcW w:type="dxa" w:w="3040"/>
            <w:tcMar>
              <w:top w:type="dxa" w:w="60"/>
              <w:left w:type="dxa" w:w="80"/>
              <w:bottom w:type="dxa" w:w="60"/>
              <w:right w:type="dxa" w:w="80"/>
            </w:tcMar>
          </w:tcPr>
          <w:p>
            <w:r>
              <w:rPr>
                <w:b w:val="false"/>
                <w:bCs w:val="false"/>
                <w:sz w:val="21"/>
                <w:szCs w:val="21"/>
              </w:rPr>
              <w:t xml:space="preserve">05/03/2026</w:t>
            </w:r>
          </w:p>
        </w:tc>
      </w:tr>
      <w:tr>
        <w:tc>
          <w:tcPr>
            <w:tcW w:type="dxa" w:w="2000"/>
            <w:shd w:fill="F2F2F2" w:val="clear"/>
            <w:tcMar>
              <w:top w:type="dxa" w:w="60"/>
              <w:left w:type="dxa" w:w="80"/>
              <w:bottom w:type="dxa" w:w="60"/>
              <w:right w:type="dxa" w:w="80"/>
            </w:tcMar>
          </w:tcPr>
          <w:p>
            <w:r>
              <w:rPr>
                <w:b/>
                <w:bCs/>
                <w:sz w:val="21"/>
                <w:szCs w:val="21"/>
              </w:rPr>
              <w:t xml:space="preserve">Processing Fee</w:t>
            </w:r>
          </w:p>
        </w:tc>
        <w:tc>
          <w:tcPr>
            <w:tcW w:type="dxa" w:w="3040"/>
            <w:tcMar>
              <w:top w:type="dxa" w:w="60"/>
              <w:left w:type="dxa" w:w="80"/>
              <w:bottom w:type="dxa" w:w="60"/>
              <w:right w:type="dxa" w:w="80"/>
            </w:tcMar>
          </w:tcPr>
          <w:p>
            <w:r>
              <w:rPr>
                <w:b w:val="false"/>
                <w:bCs w:val="false"/>
                <w:sz w:val="21"/>
                <w:szCs w:val="21"/>
              </w:rPr>
              <w:t xml:space="preserve">0.40% of Loan Amount + GST (Rs. 24,800 + GST)</w:t>
            </w:r>
          </w:p>
        </w:tc>
        <w:tc>
          <w:tcPr>
            <w:tcW w:type="dxa" w:w="2000"/>
            <w:shd w:fill="F2F2F2" w:val="clear"/>
            <w:tcMar>
              <w:top w:type="dxa" w:w="60"/>
              <w:left w:type="dxa" w:w="80"/>
              <w:bottom w:type="dxa" w:w="60"/>
              <w:right w:type="dxa" w:w="80"/>
            </w:tcMar>
          </w:tcPr>
          <w:p>
            <w:r>
              <w:rPr>
                <w:b/>
                <w:bCs/>
                <w:sz w:val="21"/>
                <w:szCs w:val="21"/>
              </w:rPr>
              <w:t xml:space="preserve">Prepayment/Foreclosure Charges</w:t>
            </w:r>
          </w:p>
        </w:tc>
        <w:tc>
          <w:tcPr>
            <w:tcW w:type="dxa" w:w="3040"/>
            <w:tcMar>
              <w:top w:type="dxa" w:w="60"/>
              <w:left w:type="dxa" w:w="80"/>
              <w:bottom w:type="dxa" w:w="60"/>
              <w:right w:type="dxa" w:w="80"/>
            </w:tcMar>
          </w:tcPr>
          <w:p>
            <w:r>
              <w:rPr>
                <w:b w:val="false"/>
                <w:bCs w:val="false"/>
                <w:sz w:val="21"/>
                <w:szCs w:val="21"/>
              </w:rPr>
              <w:t xml:space="preserve">NIL (floating-rate, individual borrower)</w:t>
            </w:r>
          </w:p>
        </w:tc>
      </w:tr>
      <w:tr>
        <w:tc>
          <w:tcPr>
            <w:tcW w:type="dxa" w:w="2000"/>
            <w:shd w:fill="F2F2F2" w:val="clear"/>
            <w:tcMar>
              <w:top w:type="dxa" w:w="60"/>
              <w:left w:type="dxa" w:w="80"/>
              <w:bottom w:type="dxa" w:w="60"/>
              <w:right w:type="dxa" w:w="80"/>
            </w:tcMar>
          </w:tcPr>
          <w:p>
            <w:r>
              <w:rPr>
                <w:b/>
                <w:bCs/>
                <w:sz w:val="21"/>
                <w:szCs w:val="21"/>
              </w:rPr>
              <w:t xml:space="preserve">Stamp Duty &amp; Registration</w:t>
            </w:r>
          </w:p>
        </w:tc>
        <w:tc>
          <w:tcPr>
            <w:tcW w:type="dxa" w:w="3040"/>
            <w:tcMar>
              <w:top w:type="dxa" w:w="60"/>
              <w:left w:type="dxa" w:w="80"/>
              <w:bottom w:type="dxa" w:w="60"/>
              <w:right w:type="dxa" w:w="80"/>
            </w:tcMar>
          </w:tcPr>
          <w:p>
            <w:r>
              <w:rPr>
                <w:b w:val="false"/>
                <w:bCs w:val="false"/>
                <w:sz w:val="21"/>
                <w:szCs w:val="21"/>
              </w:rPr>
              <w:t xml:space="preserve">At actuals, as per applicable State law</w:t>
            </w:r>
          </w:p>
        </w:tc>
        <w:tc>
          <w:tcPr>
            <w:tcW w:type="dxa" w:w="2000"/>
            <w:shd w:fill="F2F2F2" w:val="clear"/>
            <w:tcMar>
              <w:top w:type="dxa" w:w="60"/>
              <w:left w:type="dxa" w:w="80"/>
              <w:bottom w:type="dxa" w:w="60"/>
              <w:right w:type="dxa" w:w="80"/>
            </w:tcMar>
          </w:tcPr>
          <w:p>
            <w:r>
              <w:rPr>
                <w:b/>
                <w:bCs/>
                <w:sz w:val="21"/>
                <w:szCs w:val="21"/>
              </w:rPr>
              <w:t xml:space="preserve">Legal &amp; Technical Valuation Charges</w:t>
            </w:r>
          </w:p>
        </w:tc>
        <w:tc>
          <w:tcPr>
            <w:tcW w:type="dxa" w:w="3040"/>
            <w:tcMar>
              <w:top w:type="dxa" w:w="60"/>
              <w:left w:type="dxa" w:w="80"/>
              <w:bottom w:type="dxa" w:w="60"/>
              <w:right w:type="dxa" w:w="80"/>
            </w:tcMar>
          </w:tcPr>
          <w:p>
            <w:r>
              <w:rPr>
                <w:b w:val="false"/>
                <w:bCs w:val="false"/>
                <w:sz w:val="21"/>
                <w:szCs w:val="21"/>
              </w:rPr>
              <w:t xml:space="preserve">Rs. 3,500/- (one-time, disclosed at sanction)</w:t>
            </w:r>
          </w:p>
        </w:tc>
      </w:tr>
      <w:tr>
        <w:tc>
          <w:tcPr>
            <w:tcW w:type="dxa" w:w="2000"/>
            <w:shd w:fill="F2F2F2" w:val="clear"/>
            <w:tcMar>
              <w:top w:type="dxa" w:w="60"/>
              <w:left w:type="dxa" w:w="80"/>
              <w:bottom w:type="dxa" w:w="60"/>
              <w:right w:type="dxa" w:w="80"/>
            </w:tcMar>
          </w:tcPr>
          <w:p>
            <w:r>
              <w:rPr>
                <w:b/>
                <w:bCs/>
                <w:sz w:val="21"/>
                <w:szCs w:val="21"/>
              </w:rPr>
              <w:t xml:space="preserve">Default/Late Payment Interest</w:t>
            </w:r>
          </w:p>
        </w:tc>
        <w:tc>
          <w:tcPr>
            <w:tcW w:type="dxa" w:w="3040"/>
            <w:tcMar>
              <w:top w:type="dxa" w:w="60"/>
              <w:left w:type="dxa" w:w="80"/>
              <w:bottom w:type="dxa" w:w="60"/>
              <w:right w:type="dxa" w:w="80"/>
            </w:tcMar>
          </w:tcPr>
          <w:p>
            <w:r>
              <w:rPr>
                <w:b w:val="false"/>
                <w:bCs w:val="false"/>
                <w:sz w:val="21"/>
                <w:szCs w:val="21"/>
              </w:rPr>
              <w:t xml:space="preserve">2% p.a. over applicable rate, on overdue amount only</w:t>
            </w:r>
          </w:p>
        </w:tc>
        <w:tc>
          <w:tcPr>
            <w:tcW w:type="dxa" w:w="2000"/>
            <w:shd w:fill="F2F2F2" w:val="clear"/>
            <w:tcMar>
              <w:top w:type="dxa" w:w="60"/>
              <w:left w:type="dxa" w:w="80"/>
              <w:bottom w:type="dxa" w:w="60"/>
              <w:right w:type="dxa" w:w="80"/>
            </w:tcMar>
          </w:tcPr>
          <w:p>
            <w:r>
              <w:rPr>
                <w:b/>
                <w:bCs/>
                <w:sz w:val="21"/>
                <w:szCs w:val="21"/>
              </w:rPr>
              <w:t xml:space="preserve">Cheque/ECS/SI Return Charges</w:t>
            </w:r>
          </w:p>
        </w:tc>
        <w:tc>
          <w:tcPr>
            <w:tcW w:type="dxa" w:w="3040"/>
            <w:tcMar>
              <w:top w:type="dxa" w:w="60"/>
              <w:left w:type="dxa" w:w="80"/>
              <w:bottom w:type="dxa" w:w="60"/>
              <w:right w:type="dxa" w:w="80"/>
            </w:tcMar>
          </w:tcPr>
          <w:p>
            <w:r>
              <w:rPr>
                <w:b w:val="false"/>
                <w:bCs w:val="false"/>
                <w:sz w:val="21"/>
                <w:szCs w:val="21"/>
              </w:rPr>
              <w:t xml:space="preserve">Rs. 500/- per instance + GST</w:t>
            </w:r>
          </w:p>
        </w:tc>
      </w:tr>
      <w:tr>
        <w:tc>
          <w:tcPr>
            <w:tcW w:type="dxa" w:w="2000"/>
            <w:shd w:fill="F2F2F2" w:val="clear"/>
            <w:tcMar>
              <w:top w:type="dxa" w:w="60"/>
              <w:left w:type="dxa" w:w="80"/>
              <w:bottom w:type="dxa" w:w="60"/>
              <w:right w:type="dxa" w:w="80"/>
            </w:tcMar>
          </w:tcPr>
          <w:p>
            <w:r>
              <w:rPr>
                <w:b/>
                <w:bCs/>
                <w:sz w:val="21"/>
                <w:szCs w:val="21"/>
              </w:rPr>
              <w:t xml:space="preserve">CIBIL Report Copy Charges</w:t>
            </w:r>
          </w:p>
        </w:tc>
        <w:tc>
          <w:tcPr>
            <w:tcW w:type="dxa" w:w="3040"/>
            <w:tcMar>
              <w:top w:type="dxa" w:w="60"/>
              <w:left w:type="dxa" w:w="80"/>
              <w:bottom w:type="dxa" w:w="60"/>
              <w:right w:type="dxa" w:w="80"/>
            </w:tcMar>
          </w:tcPr>
          <w:p>
            <w:r>
              <w:rPr>
                <w:b w:val="false"/>
                <w:bCs w:val="false"/>
                <w:sz w:val="21"/>
                <w:szCs w:val="21"/>
              </w:rPr>
              <w:t xml:space="preserve">Rs. 50/- (on request)</w:t>
            </w:r>
          </w:p>
        </w:tc>
        <w:tc>
          <w:tcPr>
            <w:tcW w:type="dxa" w:w="2000"/>
            <w:shd w:fill="F2F2F2" w:val="clear"/>
            <w:tcMar>
              <w:top w:type="dxa" w:w="60"/>
              <w:left w:type="dxa" w:w="80"/>
              <w:bottom w:type="dxa" w:w="60"/>
              <w:right w:type="dxa" w:w="80"/>
            </w:tcMar>
          </w:tcPr>
          <w:p>
            <w:r>
              <w:rPr>
                <w:b/>
                <w:bCs/>
                <w:sz w:val="21"/>
                <w:szCs w:val="21"/>
              </w:rPr>
              <w:t xml:space="preserve">Duplicate Statement/Amortisation Charges</w:t>
            </w:r>
          </w:p>
        </w:tc>
        <w:tc>
          <w:tcPr>
            <w:tcW w:type="dxa" w:w="3040"/>
            <w:tcMar>
              <w:top w:type="dxa" w:w="60"/>
              <w:left w:type="dxa" w:w="80"/>
              <w:bottom w:type="dxa" w:w="60"/>
              <w:right w:type="dxa" w:w="80"/>
            </w:tcMar>
          </w:tcPr>
          <w:p>
            <w:r>
              <w:rPr>
                <w:b w:val="false"/>
                <w:bCs w:val="false"/>
                <w:sz w:val="21"/>
                <w:szCs w:val="21"/>
              </w:rPr>
              <w:t xml:space="preserve">Rs. 200/- per copy</w:t>
            </w:r>
          </w:p>
        </w:tc>
      </w:tr>
      <w:tr>
        <w:tc>
          <w:tcPr>
            <w:tcW w:type="dxa" w:w="2000"/>
            <w:shd w:fill="F2F2F2" w:val="clear"/>
            <w:tcMar>
              <w:top w:type="dxa" w:w="60"/>
              <w:left w:type="dxa" w:w="80"/>
              <w:bottom w:type="dxa" w:w="60"/>
              <w:right w:type="dxa" w:w="80"/>
            </w:tcMar>
          </w:tcPr>
          <w:p>
            <w:r>
              <w:rPr>
                <w:b/>
                <w:bCs/>
                <w:sz w:val="21"/>
                <w:szCs w:val="21"/>
              </w:rPr>
              <w:t xml:space="preserve">Security/Collateral</w:t>
            </w:r>
          </w:p>
        </w:tc>
        <w:tc>
          <w:tcPr>
            <w:tcW w:type="dxa" w:w="3040"/>
            <w:tcMar>
              <w:top w:type="dxa" w:w="60"/>
              <w:left w:type="dxa" w:w="80"/>
              <w:bottom w:type="dxa" w:w="60"/>
              <w:right w:type="dxa" w:w="80"/>
            </w:tcMar>
          </w:tcPr>
          <w:p>
            <w:r>
              <w:rPr>
                <w:b w:val="false"/>
                <w:bCs w:val="false"/>
                <w:sz w:val="21"/>
                <w:szCs w:val="21"/>
              </w:rPr>
              <w:t xml:space="preserve">Registered mortgage of the property financed</w:t>
            </w:r>
          </w:p>
        </w:tc>
        <w:tc>
          <w:tcPr>
            <w:tcW w:type="dxa" w:w="2000"/>
            <w:shd w:fill="F2F2F2" w:val="clear"/>
            <w:tcMar>
              <w:top w:type="dxa" w:w="60"/>
              <w:left w:type="dxa" w:w="80"/>
              <w:bottom w:type="dxa" w:w="60"/>
              <w:right w:type="dxa" w:w="80"/>
            </w:tcMar>
          </w:tcPr>
          <w:p>
            <w:r>
              <w:rPr>
                <w:b/>
                <w:bCs/>
                <w:sz w:val="21"/>
                <w:szCs w:val="21"/>
              </w:rPr>
              <w:t xml:space="preserve">Insurance</w:t>
            </w:r>
          </w:p>
        </w:tc>
        <w:tc>
          <w:tcPr>
            <w:tcW w:type="dxa" w:w="3040"/>
            <w:tcMar>
              <w:top w:type="dxa" w:w="60"/>
              <w:left w:type="dxa" w:w="80"/>
              <w:bottom w:type="dxa" w:w="60"/>
              <w:right w:type="dxa" w:w="80"/>
            </w:tcMar>
          </w:tcPr>
          <w:p>
            <w:r>
              <w:rPr>
                <w:b w:val="false"/>
                <w:bCs w:val="false"/>
                <w:sz w:val="21"/>
                <w:szCs w:val="21"/>
              </w:rPr>
              <w:t xml:space="preserve">Optional; borrower's choice of insurer</w:t>
            </w:r>
          </w:p>
        </w:tc>
      </w:tr>
      <w:tr>
        <w:tc>
          <w:tcPr>
            <w:tcW w:type="dxa" w:w="2000"/>
            <w:shd w:fill="F2F2F2" w:val="clear"/>
            <w:tcMar>
              <w:top w:type="dxa" w:w="60"/>
              <w:left w:type="dxa" w:w="80"/>
              <w:bottom w:type="dxa" w:w="60"/>
              <w:right w:type="dxa" w:w="80"/>
            </w:tcMar>
          </w:tcPr>
          <w:p>
            <w:r>
              <w:rPr>
                <w:b/>
                <w:bCs/>
                <w:sz w:val="21"/>
                <w:szCs w:val="21"/>
              </w:rPr>
              <w:t xml:space="preserve">Annual Statement Issue Date</w:t>
            </w:r>
          </w:p>
        </w:tc>
        <w:tc>
          <w:tcPr>
            <w:tcW w:type="dxa" w:w="3040"/>
            <w:tcMar>
              <w:top w:type="dxa" w:w="60"/>
              <w:left w:type="dxa" w:w="80"/>
              <w:bottom w:type="dxa" w:w="60"/>
              <w:right w:type="dxa" w:w="80"/>
            </w:tcMar>
          </w:tcPr>
          <w:p>
            <w:r>
              <w:rPr>
                <w:b w:val="false"/>
                <w:bCs w:val="false"/>
                <w:sz w:val="21"/>
                <w:szCs w:val="21"/>
              </w:rPr>
              <w:t xml:space="preserve">31st March</w:t>
            </w:r>
          </w:p>
        </w:tc>
        <w:tc>
          <w:tcPr>
            <w:tcW w:type="dxa" w:w="2000"/>
            <w:shd w:fill="F2F2F2" w:val="clear"/>
            <w:tcMar>
              <w:top w:type="dxa" w:w="60"/>
              <w:left w:type="dxa" w:w="80"/>
              <w:bottom w:type="dxa" w:w="60"/>
              <w:right w:type="dxa" w:w="80"/>
            </w:tcMar>
          </w:tcPr>
          <w:p>
            <w:r>
              <w:rPr>
                <w:b/>
                <w:bCs/>
                <w:sz w:val="21"/>
                <w:szCs w:val="21"/>
              </w:rPr>
              <w:t xml:space="preserve">Nodal Grievance Officer</w:t>
            </w:r>
          </w:p>
        </w:tc>
        <w:tc>
          <w:tcPr>
            <w:tcW w:type="dxa" w:w="3040"/>
            <w:tcMar>
              <w:top w:type="dxa" w:w="60"/>
              <w:left w:type="dxa" w:w="80"/>
              <w:bottom w:type="dxa" w:w="60"/>
              <w:right w:type="dxa" w:w="80"/>
            </w:tcMar>
          </w:tcPr>
          <w:p>
            <w:r>
              <w:rPr>
                <w:b w:val="false"/>
                <w:bCs w:val="false"/>
                <w:sz w:val="21"/>
                <w:szCs w:val="21"/>
              </w:rPr>
              <w:t xml:space="preserve">Ms. Kavita Rao, grievance@vishwasnb.example, 020-6712-4400</w:t>
            </w:r>
          </w:p>
        </w:tc>
      </w:tr>
    </w:tbl>
    <w:p>
      <w:pPr>
        <w:spacing w:after="130"/>
      </w:pPr>
      <w:r>
        <w:rPr>
          <w:sz w:val="22"/>
          <w:szCs w:val="22"/>
        </w:rPr>
        <w:t xml:space="preserve"/>
      </w:r>
    </w:p>
    <w:p>
      <w:pPr>
        <w:spacing w:after="140" w:before="300"/>
      </w:pPr>
      <w:r>
        <w:rPr>
          <w:b/>
          <w:bCs/>
          <w:color w:val="1F3864"/>
          <w:sz w:val="27"/>
          <w:szCs w:val="27"/>
        </w:rPr>
        <w:t xml:space="preserve">Terms and Conditions Applicable to Home Loan</w:t>
      </w:r>
    </w:p>
    <w:p>
      <w:pPr>
        <w:spacing w:after="170"/>
      </w:pPr>
      <w:r>
        <w:rPr>
          <w:b/>
          <w:bCs/>
          <w:sz w:val="22"/>
          <w:szCs w:val="22"/>
        </w:rPr>
        <w:t xml:space="preserve">1. Definitions. </w:t>
      </w:r>
      <w:r>
        <w:rPr>
          <w:sz w:val="22"/>
          <w:szCs w:val="22"/>
        </w:rPr>
        <w:t xml:space="preserve">In this Agreement, unless repugnant to the context: “Borrower” means the person(s) named as Borrower and Co-Borrower in the Schedule and includes their heirs, administrators and executors; “Bank” means Vishwas National Bank and its successors and permitted assigns; “Loan” means the home loan facility sanctioned as per the Schedule; “Outstanding Balance” means the principal, interest and other charges due and payable by the Borrower under this Agreement; “Property” means the immovable property described in the Schedule financed by the Loan; “RLLR/Repo Rate” means the Reserve Bank of India's benchmark repo rate to which the interest rate on this Loan is linked.</w:t>
      </w:r>
    </w:p>
    <w:p>
      <w:pPr>
        <w:spacing w:after="170"/>
      </w:pPr>
      <w:r>
        <w:rPr>
          <w:b/>
          <w:bCs/>
          <w:sz w:val="22"/>
          <w:szCs w:val="22"/>
        </w:rPr>
        <w:t xml:space="preserve">2. Loan and Disbursement. </w:t>
      </w:r>
      <w:r>
        <w:rPr>
          <w:sz w:val="22"/>
          <w:szCs w:val="22"/>
        </w:rPr>
        <w:t xml:space="preserve">Pursuant to the Borrower's application, the Bank has sanctioned the Loan stated in the Schedule for the sole purpose of purchase of the Property. The Loan shall be disbursed directly to the seller/builder in accordance with the payment plan agreed with the Borrower, subject to submission of title and other documents required by the Bank. Where the Loan is disbursed in tranches linked to construction stages, interest shall be charged only on the amount actually disbursed. If the Borrower does not wish to draw down the sanctioned amount, they may inform the Bank in writing and the undrawn portion will lapse without any charge, provided no fee has already been incurred on that portion.</w:t>
      </w:r>
    </w:p>
    <w:p>
      <w:pPr>
        <w:spacing w:after="170"/>
      </w:pPr>
      <w:r>
        <w:rPr>
          <w:b/>
          <w:bCs/>
          <w:sz w:val="22"/>
          <w:szCs w:val="22"/>
        </w:rPr>
        <w:t xml:space="preserve">3. Interest Rate. </w:t>
      </w:r>
      <w:r>
        <w:rPr>
          <w:sz w:val="22"/>
          <w:szCs w:val="22"/>
        </w:rPr>
        <w:t xml:space="preserve">Interest is charged on a floating basis linked to the Bank's external benchmark, being the RBI Repo Rate, plus the spread specified in the Schedule. The benchmark is reset quarterly; any resultant change in interest rate, EMI or tenor shall be communicated to the Borrower in writing (SMS, email and updated statement) at least 15 days before it takes effect, together with a revised amortisation schedule provided free of charge on request. The spread over the benchmark shall remain fixed for the life of the Loan and can be altered only on account of a change in the Borrower's credit risk rating, communicated with reasons in writing.</w:t>
      </w:r>
    </w:p>
    <w:p>
      <w:pPr>
        <w:spacing w:after="170"/>
      </w:pPr>
      <w:r>
        <w:rPr>
          <w:b/>
          <w:bCs/>
          <w:sz w:val="22"/>
          <w:szCs w:val="22"/>
        </w:rPr>
        <w:t xml:space="preserve">4. Repayment of Loan. </w:t>
      </w:r>
      <w:r>
        <w:rPr>
          <w:sz w:val="22"/>
          <w:szCs w:val="22"/>
        </w:rPr>
        <w:t xml:space="preserve">The Borrower shall repay the Loan through EMIs as set out in the Schedule, by NACH/ECS/Standing Instruction, commencing from the EMI Start Date. The Bank shall issue an annual statement of account by 31st March every year, and the Borrower may raise a query on any entry within 30 days of receipt, which the Bank shall resolve within 15 working days.</w:t>
      </w:r>
    </w:p>
    <w:p>
      <w:pPr>
        <w:spacing w:after="170"/>
      </w:pPr>
      <w:r>
        <w:rPr>
          <w:b/>
          <w:bCs/>
          <w:sz w:val="22"/>
          <w:szCs w:val="22"/>
        </w:rPr>
        <w:t xml:space="preserve">5. Fees, Charges and Costs. </w:t>
      </w:r>
      <w:r>
        <w:rPr>
          <w:sz w:val="22"/>
          <w:szCs w:val="22"/>
        </w:rPr>
        <w:t xml:space="preserve">All fees and charges applicable to this Loan, including processing fee, legal and technical valuation charges, stamp duty, and cheque/ECS return charges, are fully and specifically disclosed in the Schedule. No fee, charge or cost that is not disclosed in the Schedule, or subsequently agreed to by the Borrower in writing, shall be levied on the Loan at any point during its tenor.</w:t>
      </w:r>
    </w:p>
    <w:p>
      <w:pPr>
        <w:spacing w:after="170"/>
      </w:pPr>
      <w:r>
        <w:rPr>
          <w:b/>
          <w:bCs/>
          <w:sz w:val="22"/>
          <w:szCs w:val="22"/>
        </w:rPr>
        <w:t xml:space="preserve">6. Appropriation of Payments. </w:t>
      </w:r>
      <w:r>
        <w:rPr>
          <w:sz w:val="22"/>
          <w:szCs w:val="22"/>
        </w:rPr>
        <w:t xml:space="preserve">Payments received from the Borrower shall ordinarily be appropriated first towards interest due and then towards principal, in accordance with the amortisation schedule, except that any payment specifically made and identified by the Borrower as a part-prepayment shall be applied to reduce the principal outstanding.</w:t>
      </w:r>
    </w:p>
    <w:p>
      <w:pPr>
        <w:spacing w:after="170"/>
      </w:pPr>
      <w:r>
        <w:rPr>
          <w:b/>
          <w:bCs/>
          <w:sz w:val="22"/>
          <w:szCs w:val="22"/>
        </w:rPr>
        <w:t xml:space="preserve">7. Continuation and Recall of Loan. </w:t>
      </w:r>
      <w:r>
        <w:rPr>
          <w:sz w:val="22"/>
          <w:szCs w:val="22"/>
        </w:rPr>
        <w:t xml:space="preserve">The Bank may recall the Loan prior to expiry of the tenor only upon occurrence of an Event of Default as defined in Clause 13, and after issuing the notice and cure period prescribed therein. The Loan shall not otherwise be recallable at the Bank's discretion without cause.</w:t>
      </w:r>
    </w:p>
    <w:p>
      <w:pPr>
        <w:spacing w:after="170"/>
      </w:pPr>
      <w:r>
        <w:rPr>
          <w:b/>
          <w:bCs/>
          <w:sz w:val="22"/>
          <w:szCs w:val="22"/>
        </w:rPr>
        <w:t xml:space="preserve">8. Prepayment and Foreclosure. </w:t>
      </w:r>
      <w:r>
        <w:rPr>
          <w:sz w:val="22"/>
          <w:szCs w:val="22"/>
        </w:rPr>
        <w:t xml:space="preserve">In accordance with applicable RBI directions, the Borrower, being an individual availing a floating-rate home loan for non-business purposes, may prepay the Loan in part or in full at any time after the first EMI, without any foreclosure or prepayment charge whatsoever. A written request at least 7 days in advance is appreciated to enable smooth processing but is not a precondition for prepayment.</w:t>
      </w:r>
    </w:p>
    <w:p>
      <w:pPr>
        <w:spacing w:after="170"/>
      </w:pPr>
      <w:r>
        <w:rPr>
          <w:b/>
          <w:bCs/>
          <w:sz w:val="22"/>
          <w:szCs w:val="22"/>
        </w:rPr>
        <w:t xml:space="preserve">9. Insurance. </w:t>
      </w:r>
      <w:r>
        <w:rPr>
          <w:sz w:val="22"/>
          <w:szCs w:val="22"/>
        </w:rPr>
        <w:t xml:space="preserve">The Borrower may, at their sole discretion, obtain a property/loan protection insurance policy from any insurer of their choice. Purchase of insurance through the Bank or any of its affiliates is entirely optional, is not a condition of sanction or disbursement, and shall not be added to the principal of the Loan without the Borrower's specific written consent to do so.</w:t>
      </w:r>
    </w:p>
    <w:p>
      <w:pPr>
        <w:spacing w:after="170"/>
      </w:pPr>
      <w:r>
        <w:rPr>
          <w:b/>
          <w:bCs/>
          <w:sz w:val="22"/>
          <w:szCs w:val="22"/>
        </w:rPr>
        <w:t xml:space="preserve">10. Security. </w:t>
      </w:r>
      <w:r>
        <w:rPr>
          <w:sz w:val="22"/>
          <w:szCs w:val="22"/>
        </w:rPr>
        <w:t xml:space="preserve">The Loan is secured solely by a registered mortgage of the Property described in the Schedule. No general, blanket or floating lien is created over any other account, deposit or asset of the Borrower by virtue of this Agreement. Any additional or substitute security, if ever required, shall be separately negotiated and disclosed to the Borrower in writing before being created.</w:t>
      </w:r>
    </w:p>
    <w:p>
      <w:pPr>
        <w:spacing w:after="170"/>
      </w:pPr>
      <w:r>
        <w:rPr>
          <w:b/>
          <w:bCs/>
          <w:sz w:val="22"/>
          <w:szCs w:val="22"/>
        </w:rPr>
        <w:t xml:space="preserve">11. Representations and Warranties. </w:t>
      </w:r>
      <w:r>
        <w:rPr>
          <w:sz w:val="22"/>
          <w:szCs w:val="22"/>
        </w:rPr>
        <w:t xml:space="preserve">The Borrower represents that they are competent to contract, that the Property is free from encumbrance save as disclosed to the Bank, and that all information furnished in the loan application is true and complete to the best of their knowledge. These representations are deemed repeated on each date until full repayment of the Loan.</w:t>
      </w:r>
    </w:p>
    <w:p>
      <w:pPr>
        <w:spacing w:after="170"/>
      </w:pPr>
      <w:r>
        <w:rPr>
          <w:b/>
          <w:bCs/>
          <w:sz w:val="22"/>
          <w:szCs w:val="22"/>
        </w:rPr>
        <w:t xml:space="preserve">12. Negative Covenants. </w:t>
      </w:r>
      <w:r>
        <w:rPr>
          <w:sz w:val="22"/>
          <w:szCs w:val="22"/>
        </w:rPr>
        <w:t xml:space="preserve">Without the Bank's prior written consent, which shall not be unreasonably withheld, the Borrower shall not create any further charge on the Property ranking prior to or pari passu with the Bank's mortgage, or transfer the Property, save for a bona fide sale where the Loan is simultaneously repaid or the purchaser assumes the Loan with the Bank's consent.</w:t>
      </w:r>
    </w:p>
    <w:p>
      <w:pPr>
        <w:spacing w:after="170"/>
      </w:pPr>
      <w:r>
        <w:rPr>
          <w:b/>
          <w:bCs/>
          <w:sz w:val="22"/>
          <w:szCs w:val="22"/>
        </w:rPr>
        <w:t xml:space="preserve">13. Events of Default. </w:t>
      </w:r>
      <w:r>
        <w:rPr>
          <w:sz w:val="22"/>
          <w:szCs w:val="22"/>
        </w:rPr>
        <w:t xml:space="preserve">An Event of Default shall arise if the Borrower fails to pay two or more consecutive EMIs, or is in material breach of a specific, identifiable obligation under this Agreement. On occurrence of an Event of Default, the Bank shall issue a written notice specifying the default and affording the Borrower 30 days to cure it before recalling the Loan, invoking the security, or initiating enforcement proceedings under applicable law, including the notice period mandated under the SARFAESI Act, 2002, which the Borrower does not waive.</w:t>
      </w:r>
    </w:p>
    <w:p>
      <w:pPr>
        <w:spacing w:after="170"/>
      </w:pPr>
      <w:r>
        <w:rPr>
          <w:b/>
          <w:bCs/>
          <w:sz w:val="22"/>
          <w:szCs w:val="22"/>
        </w:rPr>
        <w:t xml:space="preserve">14. Set-Off and Lien. </w:t>
      </w:r>
      <w:r>
        <w:rPr>
          <w:sz w:val="22"/>
          <w:szCs w:val="22"/>
        </w:rPr>
        <w:t xml:space="preserve">The Bank shall have a specific lien, limited to amounts actually due and payable and unpaid by the Borrower under this Loan, over any deposit account maintained by the Borrower specifically earmarked as security for this Loan (if any), disclosed in the Schedule. No lien is created over any other, unconnected account or deposit of the Borrower without a separate written agreement.</w:t>
      </w:r>
    </w:p>
    <w:p>
      <w:pPr>
        <w:spacing w:after="170"/>
      </w:pPr>
      <w:r>
        <w:rPr>
          <w:b/>
          <w:bCs/>
          <w:sz w:val="22"/>
          <w:szCs w:val="22"/>
        </w:rPr>
        <w:t xml:space="preserve">15. Assignment and Securitisation. </w:t>
      </w:r>
      <w:r>
        <w:rPr>
          <w:sz w:val="22"/>
          <w:szCs w:val="22"/>
        </w:rPr>
        <w:t xml:space="preserve">The Bank may securitise, assign or transfer this Loan to another regulated financial entity, subject to applicable RBI guidelines, provided that the terms and conditions of this Agreement, including the rate of interest and charges applicable to the Borrower, remain unchanged and the Borrower is given written notice of such assignment within 30 days.</w:t>
      </w:r>
    </w:p>
    <w:p>
      <w:pPr>
        <w:spacing w:after="170"/>
      </w:pPr>
      <w:r>
        <w:rPr>
          <w:b/>
          <w:bCs/>
          <w:sz w:val="22"/>
          <w:szCs w:val="22"/>
        </w:rPr>
        <w:t xml:space="preserve">16. Disclosure to Credit Information Companies. </w:t>
      </w:r>
      <w:r>
        <w:rPr>
          <w:sz w:val="22"/>
          <w:szCs w:val="22"/>
        </w:rPr>
        <w:t xml:space="preserve">The Bank is authorised to report the Borrower's repayment record, including any default, to Credit Information Companies registered with RBI (such as CIBIL), in accordance with the Credit Information Companies (Regulation) Act, 2005, and shall correct any factually incorrect reporting within 30 days of being notified by the Borrower.</w:t>
      </w:r>
    </w:p>
    <w:p>
      <w:pPr>
        <w:spacing w:after="170"/>
      </w:pPr>
      <w:r>
        <w:rPr>
          <w:b/>
          <w:bCs/>
          <w:sz w:val="22"/>
          <w:szCs w:val="22"/>
        </w:rPr>
        <w:t xml:space="preserve">17. Notices and Communication. </w:t>
      </w:r>
      <w:r>
        <w:rPr>
          <w:sz w:val="22"/>
          <w:szCs w:val="22"/>
        </w:rPr>
        <w:t xml:space="preserve">Notices shall be sent to the address, email or mobile number on record and shall be deemed served 3 working days after dispatch by post, or immediately upon successful transmission by email/SMS. The Borrower shall promptly intimate any change of address or contact details, and the Bank shall acknowledge such change in writing.</w:t>
      </w:r>
    </w:p>
    <w:p>
      <w:pPr>
        <w:spacing w:after="170"/>
      </w:pPr>
      <w:r>
        <w:rPr>
          <w:b/>
          <w:bCs/>
          <w:sz w:val="22"/>
          <w:szCs w:val="22"/>
        </w:rPr>
        <w:t xml:space="preserve">18. Dispute Resolution, Governing Law and Jurisdiction. </w:t>
      </w:r>
      <w:r>
        <w:rPr>
          <w:sz w:val="22"/>
          <w:szCs w:val="22"/>
        </w:rPr>
        <w:t xml:space="preserve">This Agreement is governed by the laws of India. Any dispute shall first be referred to the Bank's Nodal Grievance Officer and, failing resolution within 30 days, to the RBI Integrated Ombudsman Scheme or a court/tribunal at the place where the Property is situated or where the Borrower resides, at the Borrower's election. Nothing herein excludes the Borrower's right to approach a consumer forum or civil court of competent jurisdiction.</w:t>
      </w:r>
    </w:p>
    <w:p>
      <w:pPr>
        <w:spacing w:after="170"/>
      </w:pPr>
      <w:r>
        <w:rPr>
          <w:b/>
          <w:bCs/>
          <w:sz w:val="22"/>
          <w:szCs w:val="22"/>
        </w:rPr>
        <w:t xml:space="preserve">19. Miscellaneous. </w:t>
      </w:r>
      <w:r>
        <w:rPr>
          <w:sz w:val="22"/>
          <w:szCs w:val="22"/>
        </w:rPr>
        <w:t xml:space="preserve">This document, the Schedule and the Key Fact Statement have been explained to the Borrower in a language known to them, and duplicate copies of all executed documents have been furnished to the Borrower for their records. No amendment to this Agreement shall be valid unless made in writing and signed by both parties.</w:t>
      </w:r>
    </w:p>
    <w:p>
      <w:pPr>
        <w:spacing w:after="140" w:before="300"/>
      </w:pPr>
      <w:r>
        <w:rPr>
          <w:b/>
          <w:bCs/>
          <w:sz w:val="27"/>
          <w:szCs w:val="27"/>
        </w:rPr>
        <w:t xml:space="preserve">Post-Dated Cheque / Security Cheque Acknowledgement Letter</w:t>
      </w:r>
    </w:p>
    <w:p>
      <w:pPr>
        <w:spacing w:after="130"/>
      </w:pPr>
      <w:r>
        <w:rPr>
          <w:sz w:val="22"/>
          <w:szCs w:val="22"/>
        </w:rPr>
        <w:t xml:space="preserve">Loan Account No.: VNB/HL/2026/0091273     Name of Borrower: Mr. Arjun Deshmukh</w:t>
      </w:r>
    </w:p>
    <w:p>
      <w:pPr>
        <w:spacing w:after="130"/>
      </w:pPr>
      <w:r>
        <w:rPr>
          <w:sz w:val="22"/>
          <w:szCs w:val="22"/>
        </w:rPr>
        <w:t xml:space="preserve">EMI Repayment Mode: NACH (primary), with the following security cheques additionally held on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000"/>
        <w:gridCol w:w="1880"/>
      </w:tblGrid>
      <w:tr>
        <w:tc>
          <w:tcPr>
            <w:tcW w:type="dxa" w:w="1800"/>
            <w:shd w:fill="E4E4E4" w:val="clear"/>
            <w:tcMar>
              <w:top w:type="dxa" w:w="60"/>
              <w:left w:type="dxa" w:w="80"/>
              <w:bottom w:type="dxa" w:w="60"/>
              <w:right w:type="dxa" w:w="80"/>
            </w:tcMar>
          </w:tcPr>
          <w:p>
            <w:r>
              <w:rPr>
                <w:b/>
                <w:bCs/>
                <w:sz w:val="21"/>
                <w:szCs w:val="21"/>
              </w:rPr>
              <w:t xml:space="preserve">Drawee Bank</w:t>
            </w:r>
          </w:p>
        </w:tc>
        <w:tc>
          <w:tcPr>
            <w:tcW w:type="dxa" w:w="2200"/>
            <w:shd w:fill="E4E4E4" w:val="clear"/>
            <w:tcMar>
              <w:top w:type="dxa" w:w="60"/>
              <w:left w:type="dxa" w:w="80"/>
              <w:bottom w:type="dxa" w:w="60"/>
              <w:right w:type="dxa" w:w="80"/>
            </w:tcMar>
          </w:tcPr>
          <w:p>
            <w:r>
              <w:rPr>
                <w:b/>
                <w:bCs/>
                <w:sz w:val="21"/>
                <w:szCs w:val="21"/>
              </w:rPr>
              <w:t xml:space="preserve">Bank A/c No.</w:t>
            </w:r>
          </w:p>
        </w:tc>
        <w:tc>
          <w:tcPr>
            <w:tcW w:type="dxa" w:w="2200"/>
            <w:shd w:fill="E4E4E4" w:val="clear"/>
            <w:tcMar>
              <w:top w:type="dxa" w:w="60"/>
              <w:left w:type="dxa" w:w="80"/>
              <w:bottom w:type="dxa" w:w="60"/>
              <w:right w:type="dxa" w:w="80"/>
            </w:tcMar>
          </w:tcPr>
          <w:p>
            <w:r>
              <w:rPr>
                <w:b/>
                <w:bCs/>
                <w:sz w:val="21"/>
                <w:szCs w:val="21"/>
              </w:rPr>
              <w:t xml:space="preserve">Cheque No. (From-To)</w:t>
            </w:r>
          </w:p>
        </w:tc>
        <w:tc>
          <w:tcPr>
            <w:tcW w:type="dxa" w:w="2000"/>
            <w:shd w:fill="E4E4E4" w:val="clear"/>
            <w:tcMar>
              <w:top w:type="dxa" w:w="60"/>
              <w:left w:type="dxa" w:w="80"/>
              <w:bottom w:type="dxa" w:w="60"/>
              <w:right w:type="dxa" w:w="80"/>
            </w:tcMar>
          </w:tcPr>
          <w:p>
            <w:r>
              <w:rPr>
                <w:b/>
                <w:bCs/>
                <w:sz w:val="21"/>
                <w:szCs w:val="21"/>
              </w:rPr>
              <w:t xml:space="preserve">Cheque Date (From-To)</w:t>
            </w:r>
          </w:p>
        </w:tc>
        <w:tc>
          <w:tcPr>
            <w:tcW w:type="dxa" w:w="1880"/>
            <w:shd w:fill="E4E4E4" w:val="clear"/>
            <w:tcMar>
              <w:top w:type="dxa" w:w="60"/>
              <w:left w:type="dxa" w:w="80"/>
              <w:bottom w:type="dxa" w:w="60"/>
              <w:right w:type="dxa" w:w="80"/>
            </w:tcMar>
          </w:tcPr>
          <w:p>
            <w:r>
              <w:rPr>
                <w:b/>
                <w:bCs/>
                <w:sz w:val="21"/>
                <w:szCs w:val="21"/>
              </w:rPr>
              <w:t xml:space="preserve">Cheque Amount (Rs.)</w:t>
            </w:r>
          </w:p>
        </w:tc>
      </w:tr>
      <w:tr>
        <w:tc>
          <w:tcPr>
            <w:tcW w:type="dxa" w:w="1800"/>
            <w:tcMar>
              <w:top w:type="dxa" w:w="60"/>
              <w:left w:type="dxa" w:w="80"/>
              <w:bottom w:type="dxa" w:w="60"/>
              <w:right w:type="dxa" w:w="80"/>
            </w:tcMar>
          </w:tcPr>
          <w:p>
            <w:r>
              <w:rPr>
                <w:sz w:val="21"/>
                <w:szCs w:val="21"/>
              </w:rPr>
              <w:t xml:space="preserve">State Bank Co-op Bank Ltd, Kothrud</w:t>
            </w:r>
          </w:p>
        </w:tc>
        <w:tc>
          <w:tcPr>
            <w:tcW w:type="dxa" w:w="2200"/>
            <w:tcMar>
              <w:top w:type="dxa" w:w="60"/>
              <w:left w:type="dxa" w:w="80"/>
              <w:bottom w:type="dxa" w:w="60"/>
              <w:right w:type="dxa" w:w="80"/>
            </w:tcMar>
          </w:tcPr>
          <w:p>
            <w:r>
              <w:rPr>
                <w:sz w:val="21"/>
                <w:szCs w:val="21"/>
              </w:rPr>
              <w:t xml:space="preserve">XXXXXXXX4821</w:t>
            </w:r>
          </w:p>
        </w:tc>
        <w:tc>
          <w:tcPr>
            <w:tcW w:type="dxa" w:w="2200"/>
            <w:tcMar>
              <w:top w:type="dxa" w:w="60"/>
              <w:left w:type="dxa" w:w="80"/>
              <w:bottom w:type="dxa" w:w="60"/>
              <w:right w:type="dxa" w:w="80"/>
            </w:tcMar>
          </w:tcPr>
          <w:p>
            <w:r>
              <w:rPr>
                <w:sz w:val="21"/>
                <w:szCs w:val="21"/>
              </w:rPr>
              <w:t xml:space="preserve">100451 - 100453</w:t>
            </w:r>
          </w:p>
        </w:tc>
        <w:tc>
          <w:tcPr>
            <w:tcW w:type="dxa" w:w="2000"/>
            <w:tcMar>
              <w:top w:type="dxa" w:w="60"/>
              <w:left w:type="dxa" w:w="80"/>
              <w:bottom w:type="dxa" w:w="60"/>
              <w:right w:type="dxa" w:w="80"/>
            </w:tcMar>
          </w:tcPr>
          <w:p>
            <w:r>
              <w:rPr>
                <w:sz w:val="21"/>
                <w:szCs w:val="21"/>
              </w:rPr>
              <w:t xml:space="preserve">05/03/2026 - 05/05/2026</w:t>
            </w:r>
          </w:p>
        </w:tc>
        <w:tc>
          <w:tcPr>
            <w:tcW w:type="dxa" w:w="1880"/>
            <w:tcMar>
              <w:top w:type="dxa" w:w="60"/>
              <w:left w:type="dxa" w:w="80"/>
              <w:bottom w:type="dxa" w:w="60"/>
              <w:right w:type="dxa" w:w="80"/>
            </w:tcMar>
          </w:tcPr>
          <w:p>
            <w:r>
              <w:rPr>
                <w:sz w:val="21"/>
                <w:szCs w:val="21"/>
              </w:rPr>
              <w:t xml:space="preserve">56,430/- each</w:t>
            </w:r>
          </w:p>
        </w:tc>
      </w:tr>
    </w:tbl>
    <w:p>
      <w:pPr>
        <w:spacing w:after="130"/>
      </w:pPr>
      <w:r>
        <w:rPr>
          <w:sz w:val="22"/>
          <w:szCs w:val="22"/>
        </w:rPr>
        <w:t xml:space="preserve">I hereby confirm having handed over the cheques detailed above towards repayment/security for the Loan already taken from VISHWAS NATIONAL BANK, drawn in favour of "VISHWAS NATIONAL BANK A/C VNB/HL/2026/0091273 Home Loan", and have recorded my name on the reverse of each cheque.</w:t>
      </w:r>
    </w:p>
    <w:p>
      <w:pPr>
        <w:pBdr>
          <w:top w:val="single" w:color="999999" w:sz="4"/>
          <w:bottom w:val="single" w:color="999999" w:sz="4"/>
          <w:left w:val="single" w:color="999999" w:sz="4"/>
          <w:right w:val="single" w:color="999999" w:sz="4"/>
        </w:pBdr>
        <w:spacing w:after="260" w:before="200"/>
      </w:pPr>
      <w:r>
        <w:rPr>
          <w:b/>
          <w:bCs/>
          <w:sz w:val="22"/>
          <w:szCs w:val="22"/>
        </w:rPr>
        <w:t xml:space="preserve">   S2   </w:t>
      </w:r>
    </w:p>
    <w:p>
      <w:pPr>
        <w:spacing w:after="40" w:before="420"/>
      </w:pPr>
      <w:r>
        <w:rPr>
          <w:sz w:val="22"/>
          <w:szCs w:val="22"/>
        </w:rPr>
        <w:t xml:space="preserve">_______________________________</w:t>
      </w:r>
    </w:p>
    <w:p>
      <w:pPr>
        <w:spacing w:after="260"/>
      </w:pPr>
      <w:r>
        <w:rPr>
          <w:i/>
          <w:iCs/>
          <w:sz w:val="21"/>
          <w:szCs w:val="21"/>
        </w:rPr>
        <w:t xml:space="preserve">Customer Signature</w:t>
      </w:r>
    </w:p>
    <w:p>
      <w:pPr>
        <w:spacing w:after="140" w:before="300"/>
      </w:pPr>
      <w:r>
        <w:rPr>
          <w:b/>
          <w:bCs/>
          <w:sz w:val="27"/>
          <w:szCs w:val="27"/>
        </w:rPr>
        <w:t xml:space="preserve">Customer Standing Instruction (SI) Debit Authorisation Form</w:t>
      </w:r>
    </w:p>
    <w:p>
      <w:pPr>
        <w:spacing w:after="130"/>
      </w:pPr>
      <w:r>
        <w:rPr>
          <w:sz w:val="22"/>
          <w:szCs w:val="22"/>
        </w:rPr>
        <w:t xml:space="preserve">Loan Account No.: VNB/HL/2026/0091273</w:t>
      </w:r>
    </w:p>
    <w:p>
      <w:pPr>
        <w:spacing w:after="130"/>
      </w:pPr>
      <w:r>
        <w:rPr>
          <w:sz w:val="22"/>
          <w:szCs w:val="22"/>
        </w:rPr>
        <w:t xml:space="preserve">To, The Branch Manager, VISHWAS NATIONAL BANK.</w:t>
      </w:r>
    </w:p>
    <w:p>
      <w:pPr>
        <w:spacing w:after="130"/>
      </w:pPr>
      <w:r>
        <w:rPr>
          <w:sz w:val="22"/>
          <w:szCs w:val="22"/>
        </w:rPr>
        <w:t xml:space="preserve">Dear Sir/Madam, I have taken a Home Loan from the Bank and would like to avail of the Standing Instruction facility to make repayments towards my loan. I therefore request the Bank to accept this mandate to debit my account towards recovery of EMI, Outstanding Balance and other repayment dues of my loan account as per the due dates and terms and conditions mentioned in this Agreement and the Schedule.</w:t>
      </w:r>
    </w:p>
    <w:p>
      <w:pPr>
        <w:spacing w:after="130"/>
      </w:pPr>
      <w:r>
        <w:rPr>
          <w:sz w:val="22"/>
          <w:szCs w:val="22"/>
        </w:rPr>
        <w:t xml:space="preserve">I undertake to maintain sufficient balance to cover the EMI and other dues on the stipulated due dates, and understand that failure to do so shall be treated as a default in repayment. I authorise the Bank to debit my account every month with the required amount towards repayment of my loan until this authorisation is revoked in writing.</w:t>
      </w:r>
    </w:p>
    <w:p>
      <w:pPr>
        <w:pBdr>
          <w:top w:val="single" w:color="999999" w:sz="4"/>
          <w:bottom w:val="single" w:color="999999" w:sz="4"/>
          <w:left w:val="single" w:color="999999" w:sz="4"/>
          <w:right w:val="single" w:color="999999" w:sz="4"/>
        </w:pBdr>
        <w:spacing w:after="260" w:before="200"/>
      </w:pPr>
      <w:r>
        <w:rPr>
          <w:b/>
          <w:bCs/>
          <w:sz w:val="22"/>
          <w:szCs w:val="22"/>
        </w:rPr>
        <w:t xml:space="preserve">   S3   </w:t>
      </w:r>
    </w:p>
    <w:p>
      <w:pPr>
        <w:spacing w:after="40" w:before="420"/>
      </w:pPr>
      <w:r>
        <w:rPr>
          <w:sz w:val="22"/>
          <w:szCs w:val="22"/>
        </w:rPr>
        <w:t xml:space="preserve">_______________________________</w:t>
      </w:r>
    </w:p>
    <w:p>
      <w:pPr>
        <w:spacing w:after="260"/>
      </w:pPr>
      <w:r>
        <w:rPr>
          <w:i/>
          <w:iCs/>
          <w:sz w:val="21"/>
          <w:szCs w:val="21"/>
        </w:rPr>
        <w:t xml:space="preserve">Customer / Account Holder Signature</w:t>
      </w:r>
    </w:p>
    <w:p>
      <w:pPr>
        <w:spacing w:after="140" w:before="300"/>
      </w:pPr>
      <w:r>
        <w:rPr>
          <w:b/>
          <w:bCs/>
          <w:color w:val="1F3864"/>
          <w:sz w:val="27"/>
          <w:szCs w:val="27"/>
        </w:rPr>
        <w:t xml:space="preserve">Acceptance and Signatures</w:t>
      </w:r>
    </w:p>
    <w:p>
      <w:pPr>
        <w:spacing w:after="130"/>
      </w:pPr>
      <w:r>
        <w:rPr>
          <w:sz w:val="22"/>
          <w:szCs w:val="22"/>
        </w:rPr>
        <w:t xml:space="preserve">This document, the Schedule and the Key Fact Statement have been explained to the Borrower(s) in a language known to them, and the Borrower(s) confirm having read, understood and irrevocably agreed to all the terms and conditions contained herein, and affix their signatures below in token thereof.</w:t>
      </w:r>
    </w:p>
    <w:p>
      <w:pPr>
        <w:pBdr>
          <w:top w:val="single" w:color="999999" w:sz="4"/>
          <w:bottom w:val="single" w:color="999999" w:sz="4"/>
          <w:left w:val="single" w:color="999999" w:sz="4"/>
          <w:right w:val="single" w:color="999999" w:sz="4"/>
        </w:pBdr>
        <w:spacing w:after="260" w:before="200"/>
      </w:pPr>
      <w:r>
        <w:rPr>
          <w:b/>
          <w:bCs/>
          <w:sz w:val="22"/>
          <w:szCs w:val="22"/>
        </w:rPr>
        <w:t xml:space="preserve">   S1   </w:t>
      </w:r>
    </w:p>
    <w:p>
      <w:pPr>
        <w:spacing w:after="40" w:before="420"/>
      </w:pPr>
      <w:r>
        <w:rPr>
          <w:sz w:val="22"/>
          <w:szCs w:val="22"/>
        </w:rPr>
        <w:t xml:space="preserve">_______________________________</w:t>
      </w:r>
    </w:p>
    <w:p>
      <w:pPr>
        <w:spacing w:after="260"/>
      </w:pPr>
      <w:r>
        <w:rPr>
          <w:i/>
          <w:iCs/>
          <w:sz w:val="21"/>
          <w:szCs w:val="21"/>
        </w:rPr>
        <w:t xml:space="preserve">Signature of Borrower</w:t>
      </w:r>
    </w:p>
    <w:p>
      <w:pPr>
        <w:spacing w:after="40" w:before="420"/>
      </w:pPr>
      <w:r>
        <w:rPr>
          <w:sz w:val="22"/>
          <w:szCs w:val="22"/>
        </w:rPr>
        <w:t xml:space="preserve">_______________________________</w:t>
      </w:r>
    </w:p>
    <w:p>
      <w:pPr>
        <w:spacing w:after="260"/>
      </w:pPr>
      <w:r>
        <w:rPr>
          <w:i/>
          <w:iCs/>
          <w:sz w:val="21"/>
          <w:szCs w:val="21"/>
        </w:rPr>
        <w:t xml:space="preserve">Signature of Co-Borrower (if any)</w:t>
      </w:r>
    </w:p>
    <w:p>
      <w:pPr>
        <w:spacing w:after="40" w:before="420"/>
      </w:pPr>
      <w:r>
        <w:rPr>
          <w:sz w:val="22"/>
          <w:szCs w:val="22"/>
        </w:rPr>
        <w:t xml:space="preserve">_______________________________</w:t>
      </w:r>
    </w:p>
    <w:p>
      <w:pPr>
        <w:spacing w:after="260"/>
      </w:pPr>
      <w:r>
        <w:rPr>
          <w:i/>
          <w:iCs/>
          <w:sz w:val="21"/>
          <w:szCs w:val="21"/>
        </w:rPr>
        <w:t xml:space="preserve">Accepted by VISHWAS NATIONAL BANK (Authorised Signatory)</w:t>
      </w:r>
    </w:p>
    <w:p>
      <w:pPr>
        <w:spacing w:before="320"/>
      </w:pPr>
      <w:r>
        <w:rPr>
          <w:i/>
          <w:iCs/>
          <w:color w:val="808080"/>
          <w:sz w:val="17"/>
          <w:szCs w:val="17"/>
        </w:rPr>
        <w:t xml:space="preserve">This is a fictional, illustrative loan agreement created for educational/reference purposes. Vishwas National Bank is not a real institution.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2026-09-10T10:21:39.845Z</dcterms:created>
  <dcterms:modified xsi:type="dcterms:W3CDTF">2026-09-10T10:21:39.859Z</dcterms:modified>
</cp:coreProperties>
</file>

<file path=docProps/custom.xml><?xml version="1.0" encoding="utf-8"?>
<Properties xmlns="http://schemas.openxmlformats.org/officeDocument/2006/custom-properties" xmlns:vt="http://schemas.openxmlformats.org/officeDocument/2006/docPropsVTypes"/>
</file>