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7A1F1F"/>
          <w:sz w:val="46"/>
          <w:szCs w:val="46"/>
        </w:rPr>
        <w:t xml:space="preserve">KAVERI CAPITAL BANK</w:t>
      </w:r>
    </w:p>
    <w:p>
      <w:pPr>
        <w:spacing w:after="300"/>
        <w:jc w:val="center"/>
      </w:pPr>
      <w:r>
        <w:rPr>
          <w:i/>
          <w:iCs/>
          <w:color w:val="595959"/>
          <w:sz w:val="22"/>
          <w:szCs w:val="22"/>
        </w:rPr>
        <w:t xml:space="preserve">Empowering Your Ambitions</w:t>
      </w:r>
    </w:p>
    <w:p>
      <w:pPr>
        <w:pBdr>
          <w:top w:val="single" w:color="7A1F1F" w:sz="6"/>
          <w:bottom w:val="single" w:color="7A1F1F" w:sz="6"/>
        </w:pBdr>
        <w:spacing w:after="60"/>
        <w:jc w:val="center"/>
      </w:pPr>
      <w:r>
        <w:rPr>
          <w:b/>
          <w:bCs/>
          <w:sz w:val="36"/>
          <w:szCs w:val="36"/>
        </w:rPr>
        <w:t xml:space="preserve">HOME LOAN AGREEMENT</w:t>
      </w:r>
    </w:p>
    <w:p>
      <w:pPr>
        <w:spacing w:after="300"/>
        <w:jc w:val="center"/>
      </w:pPr>
      <w:r>
        <w:rPr>
          <w:i/>
          <w:iCs/>
          <w:sz w:val="26"/>
          <w:szCs w:val="26"/>
        </w:rPr>
        <w:t xml:space="preserve">Terms and Conditions</w:t>
      </w:r>
    </w:p>
    <w:p>
      <w:pPr>
        <w:spacing w:after="140" w:before="300"/>
      </w:pPr>
      <w:r>
        <w:rPr>
          <w:b/>
          <w:bCs/>
          <w:color w:val="7A1F1F"/>
          <w:sz w:val="27"/>
          <w:szCs w:val="27"/>
        </w:rPr>
        <w:t xml:space="preserve">Schedule-cum-Key Fact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gridCol w:w="2000"/>
        <w:gridCol w:w="3040"/>
      </w:tblGrid>
      <w:tr>
        <w:tc>
          <w:tcPr>
            <w:tcW w:type="dxa" w:w="2000"/>
            <w:shd w:fill="F2F2F2" w:val="clear"/>
            <w:tcMar>
              <w:top w:type="dxa" w:w="60"/>
              <w:left w:type="dxa" w:w="80"/>
              <w:bottom w:type="dxa" w:w="60"/>
              <w:right w:type="dxa" w:w="80"/>
            </w:tcMar>
          </w:tcPr>
          <w:p>
            <w:r>
              <w:rPr>
                <w:b/>
                <w:bCs/>
                <w:sz w:val="21"/>
                <w:szCs w:val="21"/>
              </w:rPr>
              <w:t xml:space="preserve">Loan Account No.</w:t>
            </w:r>
          </w:p>
        </w:tc>
        <w:tc>
          <w:tcPr>
            <w:tcW w:type="dxa" w:w="3040"/>
            <w:tcMar>
              <w:top w:type="dxa" w:w="60"/>
              <w:left w:type="dxa" w:w="80"/>
              <w:bottom w:type="dxa" w:w="60"/>
              <w:right w:type="dxa" w:w="80"/>
            </w:tcMar>
          </w:tcPr>
          <w:p>
            <w:r>
              <w:rPr>
                <w:b w:val="false"/>
                <w:bCs w:val="false"/>
                <w:sz w:val="21"/>
                <w:szCs w:val="21"/>
              </w:rPr>
              <w:t xml:space="preserve">KCB/HL/2026/552390</w:t>
            </w:r>
          </w:p>
        </w:tc>
        <w:tc>
          <w:tcPr>
            <w:tcW w:type="dxa" w:w="2000"/>
            <w:shd w:fill="F2F2F2" w:val="clear"/>
            <w:tcMar>
              <w:top w:type="dxa" w:w="60"/>
              <w:left w:type="dxa" w:w="80"/>
              <w:bottom w:type="dxa" w:w="60"/>
              <w:right w:type="dxa" w:w="80"/>
            </w:tcMar>
          </w:tcPr>
          <w:p>
            <w:r>
              <w:rPr>
                <w:b/>
                <w:bCs/>
                <w:sz w:val="21"/>
                <w:szCs w:val="21"/>
              </w:rPr>
              <w:t xml:space="preserve">Date of Signing</w:t>
            </w:r>
          </w:p>
        </w:tc>
        <w:tc>
          <w:tcPr>
            <w:tcW w:type="dxa" w:w="3040"/>
            <w:tcMar>
              <w:top w:type="dxa" w:w="60"/>
              <w:left w:type="dxa" w:w="80"/>
              <w:bottom w:type="dxa" w:w="60"/>
              <w:right w:type="dxa" w:w="80"/>
            </w:tcMar>
          </w:tcPr>
          <w:p>
            <w:r>
              <w:rPr>
                <w:b w:val="false"/>
                <w:bCs w:val="false"/>
                <w:sz w:val="21"/>
                <w:szCs w:val="21"/>
              </w:rPr>
              <w:t xml:space="preserve">05/03/2026</w:t>
            </w:r>
          </w:p>
        </w:tc>
      </w:tr>
      <w:tr>
        <w:tc>
          <w:tcPr>
            <w:tcW w:type="dxa" w:w="2000"/>
            <w:shd w:fill="F2F2F2" w:val="clear"/>
            <w:tcMar>
              <w:top w:type="dxa" w:w="60"/>
              <w:left w:type="dxa" w:w="80"/>
              <w:bottom w:type="dxa" w:w="60"/>
              <w:right w:type="dxa" w:w="80"/>
            </w:tcMar>
          </w:tcPr>
          <w:p>
            <w:r>
              <w:rPr>
                <w:b/>
                <w:bCs/>
                <w:sz w:val="21"/>
                <w:szCs w:val="21"/>
              </w:rPr>
              <w:t xml:space="preserve">Place of Signing</w:t>
            </w:r>
          </w:p>
        </w:tc>
        <w:tc>
          <w:tcPr>
            <w:tcW w:type="dxa" w:w="3040"/>
            <w:tcMar>
              <w:top w:type="dxa" w:w="60"/>
              <w:left w:type="dxa" w:w="80"/>
              <w:bottom w:type="dxa" w:w="60"/>
              <w:right w:type="dxa" w:w="80"/>
            </w:tcMar>
          </w:tcPr>
          <w:p>
            <w:r>
              <w:rPr>
                <w:b w:val="false"/>
                <w:bCs w:val="false"/>
                <w:sz w:val="21"/>
                <w:szCs w:val="21"/>
              </w:rPr>
              <w:t xml:space="preserve">Mumbai</w:t>
            </w:r>
          </w:p>
        </w:tc>
        <w:tc>
          <w:tcPr>
            <w:tcW w:type="dxa" w:w="2000"/>
            <w:shd w:fill="F2F2F2" w:val="clear"/>
            <w:tcMar>
              <w:top w:type="dxa" w:w="60"/>
              <w:left w:type="dxa" w:w="80"/>
              <w:bottom w:type="dxa" w:w="60"/>
              <w:right w:type="dxa" w:w="80"/>
            </w:tcMar>
          </w:tcPr>
          <w:p>
            <w:r>
              <w:rPr>
                <w:b/>
                <w:bCs/>
                <w:sz w:val="21"/>
                <w:szCs w:val="21"/>
              </w:rPr>
              <w:t xml:space="preserve">Bank Branch / IFSC</w:t>
            </w:r>
          </w:p>
        </w:tc>
        <w:tc>
          <w:tcPr>
            <w:tcW w:type="dxa" w:w="3040"/>
            <w:tcMar>
              <w:top w:type="dxa" w:w="60"/>
              <w:left w:type="dxa" w:w="80"/>
              <w:bottom w:type="dxa" w:w="60"/>
              <w:right w:type="dxa" w:w="80"/>
            </w:tcMar>
          </w:tcPr>
          <w:p>
            <w:r>
              <w:rPr>
                <w:b w:val="false"/>
                <w:bCs w:val="false"/>
                <w:sz w:val="21"/>
                <w:szCs w:val="21"/>
              </w:rPr>
              <w:t xml:space="preserve">Powai Branch, Mumbai / KCBB0002087</w:t>
            </w:r>
          </w:p>
        </w:tc>
      </w:tr>
      <w:tr>
        <w:tc>
          <w:tcPr>
            <w:tcW w:type="dxa" w:w="2000"/>
            <w:shd w:fill="F2F2F2" w:val="clear"/>
            <w:tcMar>
              <w:top w:type="dxa" w:w="60"/>
              <w:left w:type="dxa" w:w="80"/>
              <w:bottom w:type="dxa" w:w="60"/>
              <w:right w:type="dxa" w:w="80"/>
            </w:tcMar>
          </w:tcPr>
          <w:p>
            <w:r>
              <w:rPr>
                <w:b/>
                <w:bCs/>
                <w:sz w:val="21"/>
                <w:szCs w:val="21"/>
              </w:rPr>
              <w:t xml:space="preserve">Name of Borrower</w:t>
            </w:r>
          </w:p>
        </w:tc>
        <w:tc>
          <w:tcPr>
            <w:tcW w:type="dxa" w:w="3040"/>
            <w:tcMar>
              <w:top w:type="dxa" w:w="60"/>
              <w:left w:type="dxa" w:w="80"/>
              <w:bottom w:type="dxa" w:w="60"/>
              <w:right w:type="dxa" w:w="80"/>
            </w:tcMar>
          </w:tcPr>
          <w:p>
            <w:r>
              <w:rPr>
                <w:b w:val="false"/>
                <w:bCs w:val="false"/>
                <w:sz w:val="21"/>
                <w:szCs w:val="21"/>
              </w:rPr>
              <w:t xml:space="preserve">Mr. Manoj Pillai</w:t>
            </w:r>
          </w:p>
        </w:tc>
        <w:tc>
          <w:tcPr>
            <w:tcW w:type="dxa" w:w="2000"/>
            <w:shd w:fill="F2F2F2" w:val="clear"/>
            <w:tcMar>
              <w:top w:type="dxa" w:w="60"/>
              <w:left w:type="dxa" w:w="80"/>
              <w:bottom w:type="dxa" w:w="60"/>
              <w:right w:type="dxa" w:w="80"/>
            </w:tcMar>
          </w:tcPr>
          <w:p>
            <w:r>
              <w:rPr>
                <w:b/>
                <w:bCs/>
                <w:sz w:val="21"/>
                <w:szCs w:val="21"/>
              </w:rPr>
              <w:t xml:space="preserve">Name of Co-Borrower</w:t>
            </w:r>
          </w:p>
        </w:tc>
        <w:tc>
          <w:tcPr>
            <w:tcW w:type="dxa" w:w="3040"/>
            <w:tcMar>
              <w:top w:type="dxa" w:w="60"/>
              <w:left w:type="dxa" w:w="80"/>
              <w:bottom w:type="dxa" w:w="60"/>
              <w:right w:type="dxa" w:w="80"/>
            </w:tcMar>
          </w:tcPr>
          <w:p>
            <w:r>
              <w:rPr>
                <w:b w:val="false"/>
                <w:bCs w:val="false"/>
                <w:sz w:val="21"/>
                <w:szCs w:val="21"/>
              </w:rPr>
              <w:t xml:space="preserve">N.A.</w:t>
            </w:r>
          </w:p>
        </w:tc>
      </w:tr>
      <w:tr>
        <w:tc>
          <w:tcPr>
            <w:tcW w:type="dxa" w:w="2000"/>
            <w:shd w:fill="F2F2F2" w:val="clear"/>
            <w:tcMar>
              <w:top w:type="dxa" w:w="60"/>
              <w:left w:type="dxa" w:w="80"/>
              <w:bottom w:type="dxa" w:w="60"/>
              <w:right w:type="dxa" w:w="80"/>
            </w:tcMar>
          </w:tcPr>
          <w:p>
            <w:r>
              <w:rPr>
                <w:b/>
                <w:bCs/>
                <w:sz w:val="21"/>
                <w:szCs w:val="21"/>
              </w:rPr>
              <w:t xml:space="preserve">Borrower Address</w:t>
            </w:r>
          </w:p>
        </w:tc>
        <w:tc>
          <w:tcPr>
            <w:tcW w:type="dxa" w:w="3040"/>
            <w:tcMar>
              <w:top w:type="dxa" w:w="60"/>
              <w:left w:type="dxa" w:w="80"/>
              <w:bottom w:type="dxa" w:w="60"/>
              <w:right w:type="dxa" w:w="80"/>
            </w:tcMar>
          </w:tcPr>
          <w:p>
            <w:r>
              <w:rPr>
                <w:b w:val="false"/>
                <w:bCs w:val="false"/>
                <w:sz w:val="21"/>
                <w:szCs w:val="21"/>
              </w:rPr>
              <w:t xml:space="preserve">B-1502, Orchid Heights, Powai, Mumbai – 400076</w:t>
            </w:r>
          </w:p>
        </w:tc>
        <w:tc>
          <w:tcPr>
            <w:tcW w:type="dxa" w:w="2000"/>
            <w:shd w:fill="F2F2F2" w:val="clear"/>
            <w:tcMar>
              <w:top w:type="dxa" w:w="60"/>
              <w:left w:type="dxa" w:w="80"/>
              <w:bottom w:type="dxa" w:w="60"/>
              <w:right w:type="dxa" w:w="80"/>
            </w:tcMar>
          </w:tcPr>
          <w:p>
            <w:r>
              <w:rPr>
                <w:b/>
                <w:bCs/>
                <w:sz w:val="21"/>
                <w:szCs w:val="21"/>
              </w:rPr>
              <w:t xml:space="preserve">PAN</w:t>
            </w:r>
          </w:p>
        </w:tc>
        <w:tc>
          <w:tcPr>
            <w:tcW w:type="dxa" w:w="3040"/>
            <w:tcMar>
              <w:top w:type="dxa" w:w="60"/>
              <w:left w:type="dxa" w:w="80"/>
              <w:bottom w:type="dxa" w:w="60"/>
              <w:right w:type="dxa" w:w="80"/>
            </w:tcMar>
          </w:tcPr>
          <w:p>
            <w:r>
              <w:rPr>
                <w:b w:val="false"/>
                <w:bCs w:val="false"/>
                <w:sz w:val="21"/>
                <w:szCs w:val="21"/>
              </w:rPr>
              <w:t xml:space="preserve">BLXPP9012M</w:t>
            </w:r>
          </w:p>
        </w:tc>
      </w:tr>
      <w:tr>
        <w:tc>
          <w:tcPr>
            <w:tcW w:type="dxa" w:w="2000"/>
            <w:shd w:fill="F2F2F2" w:val="clear"/>
            <w:tcMar>
              <w:top w:type="dxa" w:w="60"/>
              <w:left w:type="dxa" w:w="80"/>
              <w:bottom w:type="dxa" w:w="60"/>
              <w:right w:type="dxa" w:w="80"/>
            </w:tcMar>
          </w:tcPr>
          <w:p>
            <w:r>
              <w:rPr>
                <w:b/>
                <w:bCs/>
                <w:sz w:val="21"/>
                <w:szCs w:val="21"/>
              </w:rPr>
              <w:t xml:space="preserve">Property Financed</w:t>
            </w:r>
          </w:p>
        </w:tc>
        <w:tc>
          <w:tcPr>
            <w:tcW w:type="dxa" w:w="3040"/>
            <w:tcMar>
              <w:top w:type="dxa" w:w="60"/>
              <w:left w:type="dxa" w:w="80"/>
              <w:bottom w:type="dxa" w:w="60"/>
              <w:right w:type="dxa" w:w="80"/>
            </w:tcMar>
          </w:tcPr>
          <w:p>
            <w:r>
              <w:rPr>
                <w:b w:val="false"/>
                <w:bCs w:val="false"/>
                <w:sz w:val="21"/>
                <w:szCs w:val="21"/>
              </w:rPr>
              <w:t xml:space="preserve">Flat No. 1802, Orchid Heights, Powai, Mumbai</w:t>
            </w:r>
          </w:p>
        </w:tc>
        <w:tc>
          <w:tcPr>
            <w:tcW w:type="dxa" w:w="2000"/>
            <w:shd w:fill="F2F2F2" w:val="clear"/>
            <w:tcMar>
              <w:top w:type="dxa" w:w="60"/>
              <w:left w:type="dxa" w:w="80"/>
              <w:bottom w:type="dxa" w:w="60"/>
              <w:right w:type="dxa" w:w="80"/>
            </w:tcMar>
          </w:tcPr>
          <w:p>
            <w:r>
              <w:rPr>
                <w:b/>
                <w:bCs/>
                <w:sz w:val="21"/>
                <w:szCs w:val="21"/>
              </w:rPr>
              <w:t xml:space="preserve">Registered Value of Property</w:t>
            </w:r>
          </w:p>
        </w:tc>
        <w:tc>
          <w:tcPr>
            <w:tcW w:type="dxa" w:w="3040"/>
            <w:tcMar>
              <w:top w:type="dxa" w:w="60"/>
              <w:left w:type="dxa" w:w="80"/>
              <w:bottom w:type="dxa" w:w="60"/>
              <w:right w:type="dxa" w:w="80"/>
            </w:tcMar>
          </w:tcPr>
          <w:p>
            <w:r>
              <w:rPr>
                <w:b w:val="false"/>
                <w:bCs w:val="false"/>
                <w:sz w:val="21"/>
                <w:szCs w:val="21"/>
              </w:rPr>
              <w:t xml:space="preserve">Rs. 1,05,00,000/-</w:t>
            </w:r>
          </w:p>
        </w:tc>
      </w:tr>
      <w:tr>
        <w:tc>
          <w:tcPr>
            <w:tcW w:type="dxa" w:w="2000"/>
            <w:shd w:fill="F2F2F2" w:val="clear"/>
            <w:tcMar>
              <w:top w:type="dxa" w:w="60"/>
              <w:left w:type="dxa" w:w="80"/>
              <w:bottom w:type="dxa" w:w="60"/>
              <w:right w:type="dxa" w:w="80"/>
            </w:tcMar>
          </w:tcPr>
          <w:p>
            <w:r>
              <w:rPr>
                <w:b/>
                <w:bCs/>
                <w:sz w:val="21"/>
                <w:szCs w:val="21"/>
              </w:rPr>
              <w:t xml:space="preserve">Loan Amount</w:t>
            </w:r>
          </w:p>
        </w:tc>
        <w:tc>
          <w:tcPr>
            <w:tcW w:type="dxa" w:w="3040"/>
            <w:tcMar>
              <w:top w:type="dxa" w:w="60"/>
              <w:left w:type="dxa" w:w="80"/>
              <w:bottom w:type="dxa" w:w="60"/>
              <w:right w:type="dxa" w:w="80"/>
            </w:tcMar>
          </w:tcPr>
          <w:p>
            <w:r>
              <w:rPr>
                <w:b w:val="false"/>
                <w:bCs w:val="false"/>
                <w:sz w:val="21"/>
                <w:szCs w:val="21"/>
              </w:rPr>
              <w:t xml:space="preserve">Rs. 85,00,000/- (Rupees Eighty-Five Lakh Only)</w:t>
            </w:r>
          </w:p>
        </w:tc>
        <w:tc>
          <w:tcPr>
            <w:tcW w:type="dxa" w:w="2000"/>
            <w:shd w:fill="F2F2F2" w:val="clear"/>
            <w:tcMar>
              <w:top w:type="dxa" w:w="60"/>
              <w:left w:type="dxa" w:w="80"/>
              <w:bottom w:type="dxa" w:w="60"/>
              <w:right w:type="dxa" w:w="80"/>
            </w:tcMar>
          </w:tcPr>
          <w:p>
            <w:r>
              <w:rPr>
                <w:b/>
                <w:bCs/>
                <w:sz w:val="21"/>
                <w:szCs w:val="21"/>
              </w:rPr>
              <w:t xml:space="preserve">Loan-to-Value (LTV)</w:t>
            </w:r>
          </w:p>
        </w:tc>
        <w:tc>
          <w:tcPr>
            <w:tcW w:type="dxa" w:w="3040"/>
            <w:tcMar>
              <w:top w:type="dxa" w:w="60"/>
              <w:left w:type="dxa" w:w="80"/>
              <w:bottom w:type="dxa" w:w="60"/>
              <w:right w:type="dxa" w:w="80"/>
            </w:tcMar>
          </w:tcPr>
          <w:p>
            <w:r>
              <w:rPr>
                <w:b w:val="false"/>
                <w:bCs w:val="false"/>
                <w:sz w:val="21"/>
                <w:szCs w:val="21"/>
              </w:rPr>
              <w:t xml:space="preserve">81.0%</w:t>
            </w:r>
          </w:p>
        </w:tc>
      </w:tr>
      <w:tr>
        <w:tc>
          <w:tcPr>
            <w:tcW w:type="dxa" w:w="2000"/>
            <w:shd w:fill="F2F2F2" w:val="clear"/>
            <w:tcMar>
              <w:top w:type="dxa" w:w="60"/>
              <w:left w:type="dxa" w:w="80"/>
              <w:bottom w:type="dxa" w:w="60"/>
              <w:right w:type="dxa" w:w="80"/>
            </w:tcMar>
          </w:tcPr>
          <w:p>
            <w:r>
              <w:rPr>
                <w:b/>
                <w:bCs/>
                <w:sz w:val="21"/>
                <w:szCs w:val="21"/>
              </w:rPr>
              <w:t xml:space="preserve">Loan Tenor</w:t>
            </w:r>
          </w:p>
        </w:tc>
        <w:tc>
          <w:tcPr>
            <w:tcW w:type="dxa" w:w="3040"/>
            <w:tcMar>
              <w:top w:type="dxa" w:w="60"/>
              <w:left w:type="dxa" w:w="80"/>
              <w:bottom w:type="dxa" w:w="60"/>
              <w:right w:type="dxa" w:w="80"/>
            </w:tcMar>
          </w:tcPr>
          <w:p>
            <w:r>
              <w:rPr>
                <w:b w:val="false"/>
                <w:bCs w:val="false"/>
                <w:sz w:val="21"/>
                <w:szCs w:val="21"/>
              </w:rPr>
              <w:t xml:space="preserve">180 Months (15 Years)</w:t>
            </w:r>
          </w:p>
        </w:tc>
        <w:tc>
          <w:tcPr>
            <w:tcW w:type="dxa" w:w="2000"/>
            <w:shd w:fill="F2F2F2" w:val="clear"/>
            <w:tcMar>
              <w:top w:type="dxa" w:w="60"/>
              <w:left w:type="dxa" w:w="80"/>
              <w:bottom w:type="dxa" w:w="60"/>
              <w:right w:type="dxa" w:w="80"/>
            </w:tcMar>
          </w:tcPr>
          <w:p>
            <w:r>
              <w:rPr>
                <w:b/>
                <w:bCs/>
                <w:sz w:val="21"/>
                <w:szCs w:val="21"/>
              </w:rPr>
              <w:t xml:space="preserve">Purpose</w:t>
            </w:r>
          </w:p>
        </w:tc>
        <w:tc>
          <w:tcPr>
            <w:tcW w:type="dxa" w:w="3040"/>
            <w:tcMar>
              <w:top w:type="dxa" w:w="60"/>
              <w:left w:type="dxa" w:w="80"/>
              <w:bottom w:type="dxa" w:w="60"/>
              <w:right w:type="dxa" w:w="80"/>
            </w:tcMar>
          </w:tcPr>
          <w:p>
            <w:r>
              <w:rPr>
                <w:b w:val="false"/>
                <w:bCs w:val="false"/>
                <w:sz w:val="21"/>
                <w:szCs w:val="21"/>
              </w:rPr>
              <w:t xml:space="preserve">Purchase of residential flat</w:t>
            </w:r>
          </w:p>
        </w:tc>
      </w:tr>
      <w:tr>
        <w:tc>
          <w:tcPr>
            <w:tcW w:type="dxa" w:w="2000"/>
            <w:shd w:fill="F2F2F2" w:val="clear"/>
            <w:tcMar>
              <w:top w:type="dxa" w:w="60"/>
              <w:left w:type="dxa" w:w="80"/>
              <w:bottom w:type="dxa" w:w="60"/>
              <w:right w:type="dxa" w:w="80"/>
            </w:tcMar>
          </w:tcPr>
          <w:p>
            <w:r>
              <w:rPr>
                <w:b/>
                <w:bCs/>
                <w:sz w:val="21"/>
                <w:szCs w:val="21"/>
              </w:rPr>
              <w:t xml:space="preserve">Interest Rate</w:t>
            </w:r>
          </w:p>
        </w:tc>
        <w:tc>
          <w:tcPr>
            <w:tcW w:type="dxa" w:w="3040"/>
            <w:tcMar>
              <w:top w:type="dxa" w:w="60"/>
              <w:left w:type="dxa" w:w="80"/>
              <w:bottom w:type="dxa" w:w="60"/>
              <w:right w:type="dxa" w:w="80"/>
            </w:tcMar>
          </w:tcPr>
          <w:p>
            <w:r>
              <w:rPr>
                <w:b w:val="false"/>
                <w:bCs w:val="false"/>
                <w:sz w:val="21"/>
                <w:szCs w:val="21"/>
              </w:rPr>
              <w:t xml:space="preserve">11.25% p.a. fixed for first 24 months; thereafter variable at Bank's sole discretion</w:t>
            </w:r>
          </w:p>
        </w:tc>
        <w:tc>
          <w:tcPr>
            <w:tcW w:type="dxa" w:w="2000"/>
            <w:shd w:fill="F2F2F2" w:val="clear"/>
            <w:tcMar>
              <w:top w:type="dxa" w:w="60"/>
              <w:left w:type="dxa" w:w="80"/>
              <w:bottom w:type="dxa" w:w="60"/>
              <w:right w:type="dxa" w:w="80"/>
            </w:tcMar>
          </w:tcPr>
          <w:p>
            <w:r>
              <w:rPr>
                <w:b/>
                <w:bCs/>
                <w:sz w:val="21"/>
                <w:szCs w:val="21"/>
              </w:rPr>
              <w:t xml:space="preserve">Reset</w:t>
            </w:r>
          </w:p>
        </w:tc>
        <w:tc>
          <w:tcPr>
            <w:tcW w:type="dxa" w:w="3040"/>
            <w:tcMar>
              <w:top w:type="dxa" w:w="60"/>
              <w:left w:type="dxa" w:w="80"/>
              <w:bottom w:type="dxa" w:w="60"/>
              <w:right w:type="dxa" w:w="80"/>
            </w:tcMar>
          </w:tcPr>
          <w:p>
            <w:r>
              <w:rPr>
                <w:b w:val="false"/>
                <w:bCs w:val="false"/>
                <w:sz w:val="21"/>
                <w:szCs w:val="21"/>
              </w:rPr>
              <w:t xml:space="preserve">At the sole discretion of the Bank, without a fixed benchmark</w:t>
            </w:r>
          </w:p>
        </w:tc>
      </w:tr>
      <w:tr>
        <w:tc>
          <w:tcPr>
            <w:tcW w:type="dxa" w:w="2000"/>
            <w:shd w:fill="F2F2F2" w:val="clear"/>
            <w:tcMar>
              <w:top w:type="dxa" w:w="60"/>
              <w:left w:type="dxa" w:w="80"/>
              <w:bottom w:type="dxa" w:w="60"/>
              <w:right w:type="dxa" w:w="80"/>
            </w:tcMar>
          </w:tcPr>
          <w:p>
            <w:r>
              <w:rPr>
                <w:b/>
                <w:bCs/>
                <w:sz w:val="21"/>
                <w:szCs w:val="21"/>
              </w:rPr>
              <w:t xml:space="preserve">Installment Frequency</w:t>
            </w:r>
          </w:p>
        </w:tc>
        <w:tc>
          <w:tcPr>
            <w:tcW w:type="dxa" w:w="3040"/>
            <w:tcMar>
              <w:top w:type="dxa" w:w="60"/>
              <w:left w:type="dxa" w:w="80"/>
              <w:bottom w:type="dxa" w:w="60"/>
              <w:right w:type="dxa" w:w="80"/>
            </w:tcMar>
          </w:tcPr>
          <w:p>
            <w:r>
              <w:rPr>
                <w:b w:val="false"/>
                <w:bCs w:val="false"/>
                <w:sz w:val="21"/>
                <w:szCs w:val="21"/>
              </w:rPr>
              <w:t xml:space="preserve">Monthly</w:t>
            </w:r>
          </w:p>
        </w:tc>
        <w:tc>
          <w:tcPr>
            <w:tcW w:type="dxa" w:w="2000"/>
            <w:shd w:fill="F2F2F2" w:val="clear"/>
            <w:tcMar>
              <w:top w:type="dxa" w:w="60"/>
              <w:left w:type="dxa" w:w="80"/>
              <w:bottom w:type="dxa" w:w="60"/>
              <w:right w:type="dxa" w:w="80"/>
            </w:tcMar>
          </w:tcPr>
          <w:p>
            <w:r>
              <w:rPr>
                <w:b/>
                <w:bCs/>
                <w:sz w:val="21"/>
                <w:szCs w:val="21"/>
              </w:rPr>
              <w:t xml:space="preserve">No. of EMIs</w:t>
            </w:r>
          </w:p>
        </w:tc>
        <w:tc>
          <w:tcPr>
            <w:tcW w:type="dxa" w:w="3040"/>
            <w:tcMar>
              <w:top w:type="dxa" w:w="60"/>
              <w:left w:type="dxa" w:w="80"/>
              <w:bottom w:type="dxa" w:w="60"/>
              <w:right w:type="dxa" w:w="80"/>
            </w:tcMar>
          </w:tcPr>
          <w:p>
            <w:r>
              <w:rPr>
                <w:b w:val="false"/>
                <w:bCs w:val="false"/>
                <w:sz w:val="21"/>
                <w:szCs w:val="21"/>
              </w:rPr>
              <w:t xml:space="preserve">180</w:t>
            </w:r>
          </w:p>
        </w:tc>
      </w:tr>
      <w:tr>
        <w:tc>
          <w:tcPr>
            <w:tcW w:type="dxa" w:w="2000"/>
            <w:shd w:fill="F2F2F2" w:val="clear"/>
            <w:tcMar>
              <w:top w:type="dxa" w:w="60"/>
              <w:left w:type="dxa" w:w="80"/>
              <w:bottom w:type="dxa" w:w="60"/>
              <w:right w:type="dxa" w:w="80"/>
            </w:tcMar>
          </w:tcPr>
          <w:p>
            <w:r>
              <w:rPr>
                <w:b/>
                <w:bCs/>
                <w:sz w:val="21"/>
                <w:szCs w:val="21"/>
              </w:rPr>
              <w:t xml:space="preserve">EMI Amount (at sanction)</w:t>
            </w:r>
          </w:p>
        </w:tc>
        <w:tc>
          <w:tcPr>
            <w:tcW w:type="dxa" w:w="3040"/>
            <w:tcMar>
              <w:top w:type="dxa" w:w="60"/>
              <w:left w:type="dxa" w:w="80"/>
              <w:bottom w:type="dxa" w:w="60"/>
              <w:right w:type="dxa" w:w="80"/>
            </w:tcMar>
          </w:tcPr>
          <w:p>
            <w:r>
              <w:rPr>
                <w:b w:val="false"/>
                <w:bCs w:val="false"/>
                <w:sz w:val="21"/>
                <w:szCs w:val="21"/>
              </w:rPr>
              <w:t xml:space="preserve">Rs. 97,850/-</w:t>
            </w:r>
          </w:p>
        </w:tc>
        <w:tc>
          <w:tcPr>
            <w:tcW w:type="dxa" w:w="2000"/>
            <w:shd w:fill="F2F2F2" w:val="clear"/>
            <w:tcMar>
              <w:top w:type="dxa" w:w="60"/>
              <w:left w:type="dxa" w:w="80"/>
              <w:bottom w:type="dxa" w:w="60"/>
              <w:right w:type="dxa" w:w="80"/>
            </w:tcMar>
          </w:tcPr>
          <w:p>
            <w:r>
              <w:rPr>
                <w:b/>
                <w:bCs/>
                <w:sz w:val="21"/>
                <w:szCs w:val="21"/>
              </w:rPr>
              <w:t xml:space="preserve">EMI Start Date</w:t>
            </w:r>
          </w:p>
        </w:tc>
        <w:tc>
          <w:tcPr>
            <w:tcW w:type="dxa" w:w="3040"/>
            <w:tcMar>
              <w:top w:type="dxa" w:w="60"/>
              <w:left w:type="dxa" w:w="80"/>
              <w:bottom w:type="dxa" w:w="60"/>
              <w:right w:type="dxa" w:w="80"/>
            </w:tcMar>
          </w:tcPr>
          <w:p>
            <w:r>
              <w:rPr>
                <w:b w:val="false"/>
                <w:bCs w:val="false"/>
                <w:sz w:val="21"/>
                <w:szCs w:val="21"/>
              </w:rPr>
              <w:t xml:space="preserve">10/04/2026</w:t>
            </w:r>
          </w:p>
        </w:tc>
      </w:tr>
      <w:tr>
        <w:tc>
          <w:tcPr>
            <w:tcW w:type="dxa" w:w="2000"/>
            <w:shd w:fill="F2F2F2" w:val="clear"/>
            <w:tcMar>
              <w:top w:type="dxa" w:w="60"/>
              <w:left w:type="dxa" w:w="80"/>
              <w:bottom w:type="dxa" w:w="60"/>
              <w:right w:type="dxa" w:w="80"/>
            </w:tcMar>
          </w:tcPr>
          <w:p>
            <w:r>
              <w:rPr>
                <w:b/>
                <w:bCs/>
                <w:sz w:val="21"/>
                <w:szCs w:val="21"/>
              </w:rPr>
              <w:t xml:space="preserve">Processing Fee</w:t>
            </w:r>
          </w:p>
        </w:tc>
        <w:tc>
          <w:tcPr>
            <w:tcW w:type="dxa" w:w="3040"/>
            <w:tcMar>
              <w:top w:type="dxa" w:w="60"/>
              <w:left w:type="dxa" w:w="80"/>
              <w:bottom w:type="dxa" w:w="60"/>
              <w:right w:type="dxa" w:w="80"/>
            </w:tcMar>
          </w:tcPr>
          <w:p>
            <w:r>
              <w:rPr>
                <w:b w:val="false"/>
                <w:bCs w:val="false"/>
                <w:sz w:val="21"/>
                <w:szCs w:val="21"/>
              </w:rPr>
              <w:t xml:space="preserve">1.75% of Loan Amount + GST (Rs. 1,48,750 + GST)</w:t>
            </w:r>
          </w:p>
        </w:tc>
        <w:tc>
          <w:tcPr>
            <w:tcW w:type="dxa" w:w="2000"/>
            <w:shd w:fill="F2F2F2" w:val="clear"/>
            <w:tcMar>
              <w:top w:type="dxa" w:w="60"/>
              <w:left w:type="dxa" w:w="80"/>
              <w:bottom w:type="dxa" w:w="60"/>
              <w:right w:type="dxa" w:w="80"/>
            </w:tcMar>
          </w:tcPr>
          <w:p>
            <w:r>
              <w:rPr>
                <w:b/>
                <w:bCs/>
                <w:sz w:val="21"/>
                <w:szCs w:val="21"/>
              </w:rPr>
              <w:t xml:space="preserve">Prepayment/Foreclosure Charges</w:t>
            </w:r>
          </w:p>
        </w:tc>
        <w:tc>
          <w:tcPr>
            <w:tcW w:type="dxa" w:w="3040"/>
            <w:tcMar>
              <w:top w:type="dxa" w:w="60"/>
              <w:left w:type="dxa" w:w="80"/>
              <w:bottom w:type="dxa" w:w="60"/>
              <w:right w:type="dxa" w:w="80"/>
            </w:tcMar>
          </w:tcPr>
          <w:p>
            <w:r>
              <w:rPr>
                <w:b w:val="false"/>
                <w:bCs w:val="false"/>
                <w:sz w:val="21"/>
                <w:szCs w:val="21"/>
              </w:rPr>
              <w:t xml:space="preserve">6% of original Loan Amount; not permitted before 5 years</w:t>
            </w:r>
          </w:p>
        </w:tc>
      </w:tr>
      <w:tr>
        <w:tc>
          <w:tcPr>
            <w:tcW w:type="dxa" w:w="2000"/>
            <w:shd w:fill="F2F2F2" w:val="clear"/>
            <w:tcMar>
              <w:top w:type="dxa" w:w="60"/>
              <w:left w:type="dxa" w:w="80"/>
              <w:bottom w:type="dxa" w:w="60"/>
              <w:right w:type="dxa" w:w="80"/>
            </w:tcMar>
          </w:tcPr>
          <w:p>
            <w:r>
              <w:rPr>
                <w:b/>
                <w:bCs/>
                <w:sz w:val="21"/>
                <w:szCs w:val="21"/>
              </w:rPr>
              <w:t xml:space="preserve">Stamp Duty &amp; Registration</w:t>
            </w:r>
          </w:p>
        </w:tc>
        <w:tc>
          <w:tcPr>
            <w:tcW w:type="dxa" w:w="3040"/>
            <w:tcMar>
              <w:top w:type="dxa" w:w="60"/>
              <w:left w:type="dxa" w:w="80"/>
              <w:bottom w:type="dxa" w:w="60"/>
              <w:right w:type="dxa" w:w="80"/>
            </w:tcMar>
          </w:tcPr>
          <w:p>
            <w:r>
              <w:rPr>
                <w:b w:val="false"/>
                <w:bCs w:val="false"/>
                <w:sz w:val="21"/>
                <w:szCs w:val="21"/>
              </w:rPr>
              <w:t xml:space="preserve">At actuals, plus Rs. 5,000/- documentation charge</w:t>
            </w:r>
          </w:p>
        </w:tc>
        <w:tc>
          <w:tcPr>
            <w:tcW w:type="dxa" w:w="2000"/>
            <w:shd w:fill="F2F2F2" w:val="clear"/>
            <w:tcMar>
              <w:top w:type="dxa" w:w="60"/>
              <w:left w:type="dxa" w:w="80"/>
              <w:bottom w:type="dxa" w:w="60"/>
              <w:right w:type="dxa" w:w="80"/>
            </w:tcMar>
          </w:tcPr>
          <w:p>
            <w:r>
              <w:rPr>
                <w:b/>
                <w:bCs/>
                <w:sz w:val="21"/>
                <w:szCs w:val="21"/>
              </w:rPr>
              <w:t xml:space="preserve">Legal &amp; Technical Valuation Charges</w:t>
            </w:r>
          </w:p>
        </w:tc>
        <w:tc>
          <w:tcPr>
            <w:tcW w:type="dxa" w:w="3040"/>
            <w:tcMar>
              <w:top w:type="dxa" w:w="60"/>
              <w:left w:type="dxa" w:w="80"/>
              <w:bottom w:type="dxa" w:w="60"/>
              <w:right w:type="dxa" w:w="80"/>
            </w:tcMar>
          </w:tcPr>
          <w:p>
            <w:r>
              <w:rPr>
                <w:b w:val="false"/>
                <w:bCs w:val="false"/>
                <w:sz w:val="21"/>
                <w:szCs w:val="21"/>
              </w:rPr>
              <w:t xml:space="preserve">Rs. 12,000/- (non-refundable, chargeable even if loan not disbursed)</w:t>
            </w:r>
          </w:p>
        </w:tc>
      </w:tr>
      <w:tr>
        <w:tc>
          <w:tcPr>
            <w:tcW w:type="dxa" w:w="2000"/>
            <w:shd w:fill="F2F2F2" w:val="clear"/>
            <w:tcMar>
              <w:top w:type="dxa" w:w="60"/>
              <w:left w:type="dxa" w:w="80"/>
              <w:bottom w:type="dxa" w:w="60"/>
              <w:right w:type="dxa" w:w="80"/>
            </w:tcMar>
          </w:tcPr>
          <w:p>
            <w:r>
              <w:rPr>
                <w:b/>
                <w:bCs/>
                <w:sz w:val="21"/>
                <w:szCs w:val="21"/>
              </w:rPr>
              <w:t xml:space="preserve">Default/Late Payment Interest</w:t>
            </w:r>
          </w:p>
        </w:tc>
        <w:tc>
          <w:tcPr>
            <w:tcW w:type="dxa" w:w="3040"/>
            <w:tcMar>
              <w:top w:type="dxa" w:w="60"/>
              <w:left w:type="dxa" w:w="80"/>
              <w:bottom w:type="dxa" w:w="60"/>
              <w:right w:type="dxa" w:w="80"/>
            </w:tcMar>
          </w:tcPr>
          <w:p>
            <w:r>
              <w:rPr>
                <w:b w:val="false"/>
                <w:bCs w:val="false"/>
                <w:sz w:val="21"/>
                <w:szCs w:val="21"/>
              </w:rPr>
              <w:t xml:space="preserve">3% per month (36% p.a.), compounding monthly, on entire outstanding</w:t>
            </w:r>
          </w:p>
        </w:tc>
        <w:tc>
          <w:tcPr>
            <w:tcW w:type="dxa" w:w="2000"/>
            <w:shd w:fill="F2F2F2" w:val="clear"/>
            <w:tcMar>
              <w:top w:type="dxa" w:w="60"/>
              <w:left w:type="dxa" w:w="80"/>
              <w:bottom w:type="dxa" w:w="60"/>
              <w:right w:type="dxa" w:w="80"/>
            </w:tcMar>
          </w:tcPr>
          <w:p>
            <w:r>
              <w:rPr>
                <w:b/>
                <w:bCs/>
                <w:sz w:val="21"/>
                <w:szCs w:val="21"/>
              </w:rPr>
              <w:t xml:space="preserve">Cheque/ECS/SI Return Charges</w:t>
            </w:r>
          </w:p>
        </w:tc>
        <w:tc>
          <w:tcPr>
            <w:tcW w:type="dxa" w:w="3040"/>
            <w:tcMar>
              <w:top w:type="dxa" w:w="60"/>
              <w:left w:type="dxa" w:w="80"/>
              <w:bottom w:type="dxa" w:w="60"/>
              <w:right w:type="dxa" w:w="80"/>
            </w:tcMar>
          </w:tcPr>
          <w:p>
            <w:r>
              <w:rPr>
                <w:b w:val="false"/>
                <w:bCs w:val="false"/>
                <w:sz w:val="21"/>
                <w:szCs w:val="21"/>
              </w:rPr>
              <w:t xml:space="preserve">Rs. 1,000/- per instance + GST</w:t>
            </w:r>
          </w:p>
        </w:tc>
      </w:tr>
      <w:tr>
        <w:tc>
          <w:tcPr>
            <w:tcW w:type="dxa" w:w="2000"/>
            <w:shd w:fill="F2F2F2" w:val="clear"/>
            <w:tcMar>
              <w:top w:type="dxa" w:w="60"/>
              <w:left w:type="dxa" w:w="80"/>
              <w:bottom w:type="dxa" w:w="60"/>
              <w:right w:type="dxa" w:w="80"/>
            </w:tcMar>
          </w:tcPr>
          <w:p>
            <w:r>
              <w:rPr>
                <w:b/>
                <w:bCs/>
                <w:sz w:val="21"/>
                <w:szCs w:val="21"/>
              </w:rPr>
              <w:t xml:space="preserve">CIBIL Report Copy Charges</w:t>
            </w:r>
          </w:p>
        </w:tc>
        <w:tc>
          <w:tcPr>
            <w:tcW w:type="dxa" w:w="3040"/>
            <w:tcMar>
              <w:top w:type="dxa" w:w="60"/>
              <w:left w:type="dxa" w:w="80"/>
              <w:bottom w:type="dxa" w:w="60"/>
              <w:right w:type="dxa" w:w="80"/>
            </w:tcMar>
          </w:tcPr>
          <w:p>
            <w:r>
              <w:rPr>
                <w:b w:val="false"/>
                <w:bCs w:val="false"/>
                <w:sz w:val="21"/>
                <w:szCs w:val="21"/>
              </w:rPr>
              <w:t xml:space="preserve">Rs. 250/-</w:t>
            </w:r>
          </w:p>
        </w:tc>
        <w:tc>
          <w:tcPr>
            <w:tcW w:type="dxa" w:w="2000"/>
            <w:shd w:fill="F2F2F2" w:val="clear"/>
            <w:tcMar>
              <w:top w:type="dxa" w:w="60"/>
              <w:left w:type="dxa" w:w="80"/>
              <w:bottom w:type="dxa" w:w="60"/>
              <w:right w:type="dxa" w:w="80"/>
            </w:tcMar>
          </w:tcPr>
          <w:p>
            <w:r>
              <w:rPr>
                <w:b/>
                <w:bCs/>
                <w:sz w:val="21"/>
                <w:szCs w:val="21"/>
              </w:rPr>
              <w:t xml:space="preserve">Duplicate Statement/Amortisation Charges</w:t>
            </w:r>
          </w:p>
        </w:tc>
        <w:tc>
          <w:tcPr>
            <w:tcW w:type="dxa" w:w="3040"/>
            <w:tcMar>
              <w:top w:type="dxa" w:w="60"/>
              <w:left w:type="dxa" w:w="80"/>
              <w:bottom w:type="dxa" w:w="60"/>
              <w:right w:type="dxa" w:w="80"/>
            </w:tcMar>
          </w:tcPr>
          <w:p>
            <w:r>
              <w:rPr>
                <w:b w:val="false"/>
                <w:bCs w:val="false"/>
                <w:sz w:val="21"/>
                <w:szCs w:val="21"/>
              </w:rPr>
              <w:t xml:space="preserve">Rs. 500/- per copy</w:t>
            </w:r>
          </w:p>
        </w:tc>
      </w:tr>
      <w:tr>
        <w:tc>
          <w:tcPr>
            <w:tcW w:type="dxa" w:w="2000"/>
            <w:shd w:fill="F2F2F2" w:val="clear"/>
            <w:tcMar>
              <w:top w:type="dxa" w:w="60"/>
              <w:left w:type="dxa" w:w="80"/>
              <w:bottom w:type="dxa" w:w="60"/>
              <w:right w:type="dxa" w:w="80"/>
            </w:tcMar>
          </w:tcPr>
          <w:p>
            <w:r>
              <w:rPr>
                <w:b/>
                <w:bCs/>
                <w:sz w:val="21"/>
                <w:szCs w:val="21"/>
              </w:rPr>
              <w:t xml:space="preserve">Security/Collateral</w:t>
            </w:r>
          </w:p>
        </w:tc>
        <w:tc>
          <w:tcPr>
            <w:tcW w:type="dxa" w:w="3040"/>
            <w:tcMar>
              <w:top w:type="dxa" w:w="60"/>
              <w:left w:type="dxa" w:w="80"/>
              <w:bottom w:type="dxa" w:w="60"/>
              <w:right w:type="dxa" w:w="80"/>
            </w:tcMar>
          </w:tcPr>
          <w:p>
            <w:r>
              <w:rPr>
                <w:b w:val="false"/>
                <w:bCs w:val="false"/>
                <w:sz w:val="21"/>
                <w:szCs w:val="21"/>
              </w:rPr>
              <w:t xml:space="preserve">Registered mortgage plus lien over all other accounts/deposits (see Clause 14)</w:t>
            </w:r>
          </w:p>
        </w:tc>
        <w:tc>
          <w:tcPr>
            <w:tcW w:type="dxa" w:w="2000"/>
            <w:shd w:fill="F2F2F2" w:val="clear"/>
            <w:tcMar>
              <w:top w:type="dxa" w:w="60"/>
              <w:left w:type="dxa" w:w="80"/>
              <w:bottom w:type="dxa" w:w="60"/>
              <w:right w:type="dxa" w:w="80"/>
            </w:tcMar>
          </w:tcPr>
          <w:p>
            <w:r>
              <w:rPr>
                <w:b/>
                <w:bCs/>
                <w:sz w:val="21"/>
                <w:szCs w:val="21"/>
              </w:rPr>
              <w:t xml:space="preserve">Insurance</w:t>
            </w:r>
          </w:p>
        </w:tc>
        <w:tc>
          <w:tcPr>
            <w:tcW w:type="dxa" w:w="3040"/>
            <w:tcMar>
              <w:top w:type="dxa" w:w="60"/>
              <w:left w:type="dxa" w:w="80"/>
              <w:bottom w:type="dxa" w:w="60"/>
              <w:right w:type="dxa" w:w="80"/>
            </w:tcMar>
          </w:tcPr>
          <w:p>
            <w:r>
              <w:rPr>
                <w:b w:val="false"/>
                <w:bCs w:val="false"/>
                <w:sz w:val="21"/>
                <w:szCs w:val="21"/>
              </w:rPr>
              <w:t xml:space="preserve">Mandatory; only through Bank-designated insurer (see Clause 9)</w:t>
            </w:r>
          </w:p>
        </w:tc>
      </w:tr>
      <w:tr>
        <w:tc>
          <w:tcPr>
            <w:tcW w:type="dxa" w:w="2000"/>
            <w:shd w:fill="F2F2F2" w:val="clear"/>
            <w:tcMar>
              <w:top w:type="dxa" w:w="60"/>
              <w:left w:type="dxa" w:w="80"/>
              <w:bottom w:type="dxa" w:w="60"/>
              <w:right w:type="dxa" w:w="80"/>
            </w:tcMar>
          </w:tcPr>
          <w:p>
            <w:r>
              <w:rPr>
                <w:b/>
                <w:bCs/>
                <w:sz w:val="21"/>
                <w:szCs w:val="21"/>
              </w:rPr>
              <w:t xml:space="preserve">Annual Statement Issue Date</w:t>
            </w:r>
          </w:p>
        </w:tc>
        <w:tc>
          <w:tcPr>
            <w:tcW w:type="dxa" w:w="3040"/>
            <w:tcMar>
              <w:top w:type="dxa" w:w="60"/>
              <w:left w:type="dxa" w:w="80"/>
              <w:bottom w:type="dxa" w:w="60"/>
              <w:right w:type="dxa" w:w="80"/>
            </w:tcMar>
          </w:tcPr>
          <w:p>
            <w:r>
              <w:rPr>
                <w:b w:val="false"/>
                <w:bCs w:val="false"/>
                <w:sz w:val="21"/>
                <w:szCs w:val="21"/>
              </w:rPr>
              <w:t xml:space="preserve">31st May</w:t>
            </w:r>
          </w:p>
        </w:tc>
        <w:tc>
          <w:tcPr>
            <w:tcW w:type="dxa" w:w="2000"/>
            <w:shd w:fill="F2F2F2" w:val="clear"/>
            <w:tcMar>
              <w:top w:type="dxa" w:w="60"/>
              <w:left w:type="dxa" w:w="80"/>
              <w:bottom w:type="dxa" w:w="60"/>
              <w:right w:type="dxa" w:w="80"/>
            </w:tcMar>
          </w:tcPr>
          <w:p>
            <w:r>
              <w:rPr>
                <w:b/>
                <w:bCs/>
                <w:sz w:val="21"/>
                <w:szCs w:val="21"/>
              </w:rPr>
              <w:t xml:space="preserve">Nodal Grievance Officer</w:t>
            </w:r>
          </w:p>
        </w:tc>
        <w:tc>
          <w:tcPr>
            <w:tcW w:type="dxa" w:w="3040"/>
            <w:tcMar>
              <w:top w:type="dxa" w:w="60"/>
              <w:left w:type="dxa" w:w="80"/>
              <w:bottom w:type="dxa" w:w="60"/>
              <w:right w:type="dxa" w:w="80"/>
            </w:tcMar>
          </w:tcPr>
          <w:p>
            <w:r>
              <w:rPr>
                <w:b w:val="false"/>
                <w:bCs w:val="false"/>
                <w:sz w:val="21"/>
                <w:szCs w:val="21"/>
              </w:rPr>
              <w:t xml:space="preserve">Not designated</w:t>
            </w:r>
          </w:p>
        </w:tc>
      </w:tr>
    </w:tbl>
    <w:p>
      <w:pPr>
        <w:spacing w:after="130"/>
      </w:pPr>
      <w:r>
        <w:rPr>
          <w:sz w:val="22"/>
          <w:szCs w:val="22"/>
        </w:rPr>
        <w:t xml:space="preserve"/>
      </w:r>
    </w:p>
    <w:p>
      <w:pPr>
        <w:spacing w:after="140" w:before="300"/>
      </w:pPr>
      <w:r>
        <w:rPr>
          <w:b/>
          <w:bCs/>
          <w:color w:val="7A1F1F"/>
          <w:sz w:val="27"/>
          <w:szCs w:val="27"/>
        </w:rPr>
        <w:t xml:space="preserve">Terms and Conditions Applicable to Home Loan</w:t>
      </w:r>
    </w:p>
    <w:p>
      <w:pPr>
        <w:spacing w:after="170"/>
      </w:pPr>
      <w:r>
        <w:rPr>
          <w:b/>
          <w:bCs/>
          <w:sz w:val="22"/>
          <w:szCs w:val="22"/>
        </w:rPr>
        <w:t xml:space="preserve">1. Definitions. </w:t>
      </w:r>
      <w:r>
        <w:rPr>
          <w:sz w:val="22"/>
          <w:szCs w:val="22"/>
        </w:rPr>
        <w:t xml:space="preserve">In this Agreement, “Borrower” includes the Borrower's heirs, legal representatives, and any person claiming through the Borrower, all of whom shall be equally bound by this Agreement; “Bank” means Kaveri Capital Bank, its successors, affiliates, and any assignee or transferee, howsoever appointed; “Outstanding Balance” means all amounts of principal, interest, default interest, fees and charges of any kind outstanding at any time, as conclusively determined by the Bank's internal records; “Relevant Entities” means the Bank and any of its group, affiliate, or associate companies, for whose benefit certain rights under this Agreement also extend.</w:t>
      </w:r>
    </w:p>
    <w:p>
      <w:pPr>
        <w:spacing w:after="170"/>
      </w:pPr>
      <w:r>
        <w:rPr>
          <w:b/>
          <w:bCs/>
          <w:sz w:val="22"/>
          <w:szCs w:val="22"/>
        </w:rPr>
        <w:t xml:space="preserve">2. Loan and Disbursement. </w:t>
      </w:r>
      <w:r>
        <w:rPr>
          <w:sz w:val="22"/>
          <w:szCs w:val="22"/>
        </w:rPr>
        <w:t xml:space="preserve">The Bank has sanctioned the Loan stated above entirely at its sole and unfettered discretion, and may disburse it in such tranches, at such times, and subject to such further conditions as it alone deems fit, without being obliged to give reasons. If any part of the Loan remains undisbursed or unutilised for any reason whatsoever, including delay attributable to the builder or registration authorities, the Bank may cancel that part and additionally recall any amount already disbursed, forthwith and without notice.</w:t>
      </w:r>
    </w:p>
    <w:p>
      <w:pPr>
        <w:spacing w:after="170"/>
      </w:pPr>
      <w:r>
        <w:rPr>
          <w:b/>
          <w:bCs/>
          <w:sz w:val="22"/>
          <w:szCs w:val="22"/>
        </w:rPr>
        <w:t xml:space="preserve">3. Interest Rate. </w:t>
      </w:r>
      <w:r>
        <w:rPr>
          <w:sz w:val="22"/>
          <w:szCs w:val="22"/>
        </w:rPr>
        <w:t xml:space="preserve">The rate of interest is fixed only for the first 24 months. Thereafter, the Bank may, at its sole and absolute discretion, revise the rate of interest applicable to the Loan at any time, including retrospectively from a date determined by the Bank, without requiring the Borrower's prior consent and without reference to any published external benchmark. Such revision shall be binding upon the Borrower merely upon intimation by SMS or email, and the Borrower shall have no right to object to, or to prepay without foreclosure charge on account of, any such revision.</w:t>
      </w:r>
    </w:p>
    <w:p>
      <w:pPr>
        <w:spacing w:after="170"/>
      </w:pPr>
      <w:r>
        <w:rPr>
          <w:b/>
          <w:bCs/>
          <w:sz w:val="22"/>
          <w:szCs w:val="22"/>
        </w:rPr>
        <w:t xml:space="preserve">4. Repayment of Loan. </w:t>
      </w:r>
      <w:r>
        <w:rPr>
          <w:sz w:val="22"/>
          <w:szCs w:val="22"/>
        </w:rPr>
        <w:t xml:space="preserve">The Borrower shall repay the Loan through EMIs as set out in the Schedule. Notwithstanding regular and timely payment of every EMI, the Bank reserves the right, at any time and without assigning any reason, to call upon the Borrower to repay the entire Outstanding Balance within 24 hours of such demand, failing which all consequences of default, including repossession of the Property, shall apply as though the Borrower were in default under Clause 13.</w:t>
      </w:r>
    </w:p>
    <w:p>
      <w:pPr>
        <w:spacing w:after="170"/>
      </w:pPr>
      <w:r>
        <w:rPr>
          <w:b/>
          <w:bCs/>
          <w:sz w:val="22"/>
          <w:szCs w:val="22"/>
        </w:rPr>
        <w:t xml:space="preserve">5. Fees, Charges and Costs. </w:t>
      </w:r>
      <w:r>
        <w:rPr>
          <w:sz w:val="22"/>
          <w:szCs w:val="22"/>
        </w:rPr>
        <w:t xml:space="preserve">In addition to the fees listed in the Schedule, the Borrower shall be liable to pay any other charges, fees, commissions or costs as may be levied by the Bank from time to time, at rates and on grounds to be determined solely by the Bank, which charges may be applied with retrospective effect and without any requirement of prior notice or disclosure to the Borrower. The legal and technical valuation charge stated in the Schedule is payable and non-refundable even if the Loan is ultimately not sanctioned or disbursed.</w:t>
      </w:r>
    </w:p>
    <w:p>
      <w:pPr>
        <w:spacing w:after="170"/>
      </w:pPr>
      <w:r>
        <w:rPr>
          <w:b/>
          <w:bCs/>
          <w:sz w:val="22"/>
          <w:szCs w:val="22"/>
        </w:rPr>
        <w:t xml:space="preserve">6. Appropriation of Payments. </w:t>
      </w:r>
      <w:r>
        <w:rPr>
          <w:sz w:val="22"/>
          <w:szCs w:val="22"/>
        </w:rPr>
        <w:t xml:space="preserve">All payments received from the Borrower, including specifically identified part-prepayments, shall be appropriated by the Bank in such order as the Bank deems fit in its sole discretion — firstly towards costs and charges, secondly towards default/penal interest, thirdly towards regular interest, and only lastly towards principal — irrespective of any instruction given by the Borrower to the contrary.</w:t>
      </w:r>
    </w:p>
    <w:p>
      <w:pPr>
        <w:spacing w:after="170"/>
      </w:pPr>
      <w:r>
        <w:rPr>
          <w:b/>
          <w:bCs/>
          <w:sz w:val="22"/>
          <w:szCs w:val="22"/>
        </w:rPr>
        <w:t xml:space="preserve">7. Continuation and Recall of Loan. </w:t>
      </w:r>
      <w:r>
        <w:rPr>
          <w:sz w:val="22"/>
          <w:szCs w:val="22"/>
        </w:rPr>
        <w:t xml:space="preserve">The continuation of the Loan is at all times at the sole and absolute discretion of the Bank. The Bank may, at any time during the tenor, without assigning any reason and without the occurrence of any Event of Default, call upon the Borrower to repay the Outstanding Balance in full, and the Borrower shall comply within 24 hours of such demand.</w:t>
      </w:r>
    </w:p>
    <w:p>
      <w:pPr>
        <w:spacing w:after="170"/>
      </w:pPr>
      <w:r>
        <w:rPr>
          <w:b/>
          <w:bCs/>
          <w:sz w:val="22"/>
          <w:szCs w:val="22"/>
        </w:rPr>
        <w:t xml:space="preserve">8. Prepayment and Foreclosure. </w:t>
      </w:r>
      <w:r>
        <w:rPr>
          <w:sz w:val="22"/>
          <w:szCs w:val="22"/>
        </w:rPr>
        <w:t xml:space="preserve">No prepayment or foreclosure of the Loan, whether in part or in full, shall be permitted before completion of 5 years from the date of first disbursement, irrespective of whether the interest rate is fixed or variable at the relevant time. Thereafter, foreclosure charges of 6% shall be levied on the original sanctioned Loan Amount, and not on the balance actually outstanding, irrespective of how much of the Loan has already been repaid. This charge is expressly stated to be non-negotiable and non-waivable under any circumstance, including death or disability of the Borrower.</w:t>
      </w:r>
    </w:p>
    <w:p>
      <w:pPr>
        <w:spacing w:after="170"/>
      </w:pPr>
      <w:r>
        <w:rPr>
          <w:b/>
          <w:bCs/>
          <w:sz w:val="22"/>
          <w:szCs w:val="22"/>
        </w:rPr>
        <w:t xml:space="preserve">9. Insurance. </w:t>
      </w:r>
      <w:r>
        <w:rPr>
          <w:sz w:val="22"/>
          <w:szCs w:val="22"/>
        </w:rPr>
        <w:t xml:space="preserve">It shall be mandatory for the Borrower to obtain a loan-linked property and life insurance policy solely from the insurance company designated by the Bank as its preferred partner. The premium for such insurance shall be compulsorily added to the principal amount of the Loan and financed at the Loan's applicable interest rate, and the Borrower shall have no option to decline such insurance, to select an alternative insurer, or to pay the premium independently of the Loan.</w:t>
      </w:r>
    </w:p>
    <w:p>
      <w:pPr>
        <w:spacing w:after="170"/>
      </w:pPr>
      <w:r>
        <w:rPr>
          <w:b/>
          <w:bCs/>
          <w:sz w:val="22"/>
          <w:szCs w:val="22"/>
        </w:rPr>
        <w:t xml:space="preserve">10. Security. </w:t>
      </w:r>
      <w:r>
        <w:rPr>
          <w:sz w:val="22"/>
          <w:szCs w:val="22"/>
        </w:rPr>
        <w:t xml:space="preserve">In addition to the mortgage of the Property, the Borrower hereby grants the Bank and all Relevant Entities a general and continuing lien and right of set-off over all present and future accounts, deposits, lockers, and securities held by the Borrower with the Bank or any of its affiliates, which may be appropriated towards any dues under this Loan or any other facility availed by the Borrower from the Bank or its group entities, without prior notice to the Borrower. Default under any other loan or facility of the Borrower with any lender shall also constitute a cross-default and Event of Default under this Agreement.</w:t>
      </w:r>
    </w:p>
    <w:p>
      <w:pPr>
        <w:spacing w:after="170"/>
      </w:pPr>
      <w:r>
        <w:rPr>
          <w:b/>
          <w:bCs/>
          <w:sz w:val="22"/>
          <w:szCs w:val="22"/>
        </w:rPr>
        <w:t xml:space="preserve">11. Representations and Warranties. </w:t>
      </w:r>
      <w:r>
        <w:rPr>
          <w:sz w:val="22"/>
          <w:szCs w:val="22"/>
        </w:rPr>
        <w:t xml:space="preserve">The Borrower represents and warrants the matters stated in the loan application as true, and further irrevocably confirms that the Bank has made no representation of any kind regarding the suitability of the interest structure, and that the Borrower waives any claim against the Bank arising from a future increase in the rate of interest or charges.</w:t>
      </w:r>
    </w:p>
    <w:p>
      <w:pPr>
        <w:spacing w:after="170"/>
      </w:pPr>
      <w:r>
        <w:rPr>
          <w:b/>
          <w:bCs/>
          <w:sz w:val="22"/>
          <w:szCs w:val="22"/>
        </w:rPr>
        <w:t xml:space="preserve">12. Negative Covenants. </w:t>
      </w:r>
      <w:r>
        <w:rPr>
          <w:sz w:val="22"/>
          <w:szCs w:val="22"/>
        </w:rPr>
        <w:t xml:space="preserve">The Borrower shall not, without the Bank's prior written consent (which the Bank may withhold in its sole discretion, without giving reasons), sell, transfer, let out, or in any manner deal with the Property, change employment, close any bank account, or incur any further debt from any source, for so long as any amount remains outstanding under the Loan.</w:t>
      </w:r>
    </w:p>
    <w:p>
      <w:pPr>
        <w:spacing w:after="170"/>
      </w:pPr>
      <w:r>
        <w:rPr>
          <w:b/>
          <w:bCs/>
          <w:sz w:val="22"/>
          <w:szCs w:val="22"/>
        </w:rPr>
        <w:t xml:space="preserve">13. Events of Default. </w:t>
      </w:r>
      <w:r>
        <w:rPr>
          <w:sz w:val="22"/>
          <w:szCs w:val="22"/>
        </w:rPr>
        <w:t xml:space="preserve">An Event of Default shall include, without limitation, any circumstance which the Bank, in its sole and uncontrolled opinion, considers adverse to its interest, whether or not related to repayment of the Loan. Upon occurrence of an Event of Default, the entire Outstanding Balance shall become due and payable immediately and automatically, without notice to the Borrower, and the Bank may take symbolic or physical possession of the Property and sell it through its own nominees, and the Borrower hereby waives, to the extent permitted by law, any right to advance notice under the SARFAESI Act, 2002 or any other applicable law prior to such action.</w:t>
      </w:r>
    </w:p>
    <w:p>
      <w:pPr>
        <w:spacing w:after="170"/>
      </w:pPr>
      <w:r>
        <w:rPr>
          <w:b/>
          <w:bCs/>
          <w:sz w:val="22"/>
          <w:szCs w:val="22"/>
        </w:rPr>
        <w:t xml:space="preserve">14. Set-Off and Lien. </w:t>
      </w:r>
      <w:r>
        <w:rPr>
          <w:sz w:val="22"/>
          <w:szCs w:val="22"/>
        </w:rPr>
        <w:t xml:space="preserve">In respect of all liabilities of the Borrower to the Bank and any Relevant Entity, whether under this Loan or any other facility, actual or contingent, the Bank and every Relevant Entity shall have a specific and general lien on all moneys and securities of the Borrower held with any of them, and may combine, consolidate, transfer, or set off any such amounts at any time, without notice to or consent of the Borrower, whether or not the relevant liability has fallen due.</w:t>
      </w:r>
    </w:p>
    <w:p>
      <w:pPr>
        <w:spacing w:after="170"/>
      </w:pPr>
      <w:r>
        <w:rPr>
          <w:b/>
          <w:bCs/>
          <w:sz w:val="22"/>
          <w:szCs w:val="22"/>
        </w:rPr>
        <w:t xml:space="preserve">15. Assignment and Securitisation. </w:t>
      </w:r>
      <w:r>
        <w:rPr>
          <w:sz w:val="22"/>
          <w:szCs w:val="22"/>
        </w:rPr>
        <w:t xml:space="preserve">The Bank shall be entitled, at its sole discretion, to sell, assign, securitise, or otherwise transfer this Loan, in whole or in part, to any third party of its choosing, including any unregulated entity or asset reconstruction company, without notice to or consent of the Borrower, and the Borrower shall continue to be bound to repay as directed by the Bank, with no right to raise any objection, set-off, or counterclaim against such third party.</w:t>
      </w:r>
    </w:p>
    <w:p>
      <w:pPr>
        <w:spacing w:after="170"/>
      </w:pPr>
      <w:r>
        <w:rPr>
          <w:b/>
          <w:bCs/>
          <w:sz w:val="22"/>
          <w:szCs w:val="22"/>
        </w:rPr>
        <w:t xml:space="preserve">16. Disclosure to Credit Information Companies. </w:t>
      </w:r>
      <w:r>
        <w:rPr>
          <w:sz w:val="22"/>
          <w:szCs w:val="22"/>
        </w:rPr>
        <w:t xml:space="preserve">The Bank shall be entitled to disclose any information relating to the Borrower, including personal and financial information, defaults, and this Loan, to any Credit Information Company, governmental authority, rating agency, or third party of its choosing, in such manner as the Bank deems necessary, and the Borrower hereby waives any privilege of privacy or privity of contract in this regard.</w:t>
      </w:r>
    </w:p>
    <w:p>
      <w:pPr>
        <w:spacing w:after="170"/>
      </w:pPr>
      <w:r>
        <w:rPr>
          <w:b/>
          <w:bCs/>
          <w:sz w:val="22"/>
          <w:szCs w:val="22"/>
        </w:rPr>
        <w:t xml:space="preserve">17. Notices and Communication. </w:t>
      </w:r>
      <w:r>
        <w:rPr>
          <w:sz w:val="22"/>
          <w:szCs w:val="22"/>
        </w:rPr>
        <w:t xml:space="preserve">Any notice sent by the Bank by post, courier, SMS, or email shall be deemed to have been duly served on the Borrower on the next working day after dispatch, whether or not actually received by the Borrower, and the Bank shall be under no obligation to confirm receipt or resend any notice that does not reach the Borrower.</w:t>
      </w:r>
    </w:p>
    <w:p>
      <w:pPr>
        <w:spacing w:after="170"/>
      </w:pPr>
      <w:r>
        <w:rPr>
          <w:b/>
          <w:bCs/>
          <w:sz w:val="22"/>
          <w:szCs w:val="22"/>
        </w:rPr>
        <w:t xml:space="preserve">18. Dispute Resolution, Governing Law and Jurisdiction. </w:t>
      </w:r>
      <w:r>
        <w:rPr>
          <w:sz w:val="22"/>
          <w:szCs w:val="22"/>
        </w:rPr>
        <w:t xml:space="preserve">This Agreement is governed by the laws of India. All disputes arising out of or relating to this Agreement shall be referred to arbitration by a sole arbitrator appointed exclusively by the Bank, with the seat and venue of arbitration at Mumbai regardless of where the Borrower resides or the Property is situated. The Borrower shall bear the entire cost of such arbitration irrespective of its outcome, and hereby waives any right to approach a consumer forum or civil court in respect of any matter arising under this Agreement, to the extent permitted by law.</w:t>
      </w:r>
    </w:p>
    <w:p>
      <w:pPr>
        <w:spacing w:after="170"/>
      </w:pPr>
      <w:r>
        <w:rPr>
          <w:b/>
          <w:bCs/>
          <w:sz w:val="22"/>
          <w:szCs w:val="22"/>
        </w:rPr>
        <w:t xml:space="preserve">19. Miscellaneous. </w:t>
      </w:r>
      <w:r>
        <w:rPr>
          <w:sz w:val="22"/>
          <w:szCs w:val="22"/>
        </w:rPr>
        <w:t xml:space="preserve">The Borrower confirms having read and understood this Agreement, including without limitation Clauses 3, 6, 7, 8, 9, 10, 13, 14, 15, 16, and 18 above, and agrees to be bound by all of them. No forbearance or delay by the Bank in enforcing any right shall operate as a waiver of that right at any future time.</w:t>
      </w:r>
    </w:p>
    <w:p>
      <w:pPr>
        <w:spacing w:after="140" w:before="300"/>
      </w:pPr>
      <w:r>
        <w:rPr>
          <w:b/>
          <w:bCs/>
          <w:sz w:val="27"/>
          <w:szCs w:val="27"/>
        </w:rPr>
        <w:t xml:space="preserve">Post-Dated Cheque / Security Cheque Acknowledgement Letter</w:t>
      </w:r>
    </w:p>
    <w:p>
      <w:pPr>
        <w:spacing w:after="130"/>
      </w:pPr>
      <w:r>
        <w:rPr>
          <w:sz w:val="22"/>
          <w:szCs w:val="22"/>
        </w:rPr>
        <w:t xml:space="preserve">Loan Account No.: KCB/HL/2026/552390     Name of Borrower: Mr. Manoj Pillai</w:t>
      </w:r>
    </w:p>
    <w:p>
      <w:pPr>
        <w:spacing w:after="130"/>
      </w:pPr>
      <w:r>
        <w:rPr>
          <w:sz w:val="22"/>
          <w:szCs w:val="22"/>
        </w:rPr>
        <w:t xml:space="preserve">EMI Repayment Mode: NACH (primary), with the following security cheques additionally held on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000"/>
        <w:gridCol w:w="1880"/>
      </w:tblGrid>
      <w:tr>
        <w:tc>
          <w:tcPr>
            <w:tcW w:type="dxa" w:w="1800"/>
            <w:shd w:fill="E4E4E4" w:val="clear"/>
            <w:tcMar>
              <w:top w:type="dxa" w:w="60"/>
              <w:left w:type="dxa" w:w="80"/>
              <w:bottom w:type="dxa" w:w="60"/>
              <w:right w:type="dxa" w:w="80"/>
            </w:tcMar>
          </w:tcPr>
          <w:p>
            <w:r>
              <w:rPr>
                <w:b/>
                <w:bCs/>
                <w:sz w:val="21"/>
                <w:szCs w:val="21"/>
              </w:rPr>
              <w:t xml:space="preserve">Drawee Bank</w:t>
            </w:r>
          </w:p>
        </w:tc>
        <w:tc>
          <w:tcPr>
            <w:tcW w:type="dxa" w:w="2200"/>
            <w:shd w:fill="E4E4E4" w:val="clear"/>
            <w:tcMar>
              <w:top w:type="dxa" w:w="60"/>
              <w:left w:type="dxa" w:w="80"/>
              <w:bottom w:type="dxa" w:w="60"/>
              <w:right w:type="dxa" w:w="80"/>
            </w:tcMar>
          </w:tcPr>
          <w:p>
            <w:r>
              <w:rPr>
                <w:b/>
                <w:bCs/>
                <w:sz w:val="21"/>
                <w:szCs w:val="21"/>
              </w:rPr>
              <w:t xml:space="preserve">Bank A/c No.</w:t>
            </w:r>
          </w:p>
        </w:tc>
        <w:tc>
          <w:tcPr>
            <w:tcW w:type="dxa" w:w="2200"/>
            <w:shd w:fill="E4E4E4" w:val="clear"/>
            <w:tcMar>
              <w:top w:type="dxa" w:w="60"/>
              <w:left w:type="dxa" w:w="80"/>
              <w:bottom w:type="dxa" w:w="60"/>
              <w:right w:type="dxa" w:w="80"/>
            </w:tcMar>
          </w:tcPr>
          <w:p>
            <w:r>
              <w:rPr>
                <w:b/>
                <w:bCs/>
                <w:sz w:val="21"/>
                <w:szCs w:val="21"/>
              </w:rPr>
              <w:t xml:space="preserve">Cheque No. (From-To)</w:t>
            </w:r>
          </w:p>
        </w:tc>
        <w:tc>
          <w:tcPr>
            <w:tcW w:type="dxa" w:w="2000"/>
            <w:shd w:fill="E4E4E4" w:val="clear"/>
            <w:tcMar>
              <w:top w:type="dxa" w:w="60"/>
              <w:left w:type="dxa" w:w="80"/>
              <w:bottom w:type="dxa" w:w="60"/>
              <w:right w:type="dxa" w:w="80"/>
            </w:tcMar>
          </w:tcPr>
          <w:p>
            <w:r>
              <w:rPr>
                <w:b/>
                <w:bCs/>
                <w:sz w:val="21"/>
                <w:szCs w:val="21"/>
              </w:rPr>
              <w:t xml:space="preserve">Cheque Date (From-To)</w:t>
            </w:r>
          </w:p>
        </w:tc>
        <w:tc>
          <w:tcPr>
            <w:tcW w:type="dxa" w:w="1880"/>
            <w:shd w:fill="E4E4E4" w:val="clear"/>
            <w:tcMar>
              <w:top w:type="dxa" w:w="60"/>
              <w:left w:type="dxa" w:w="80"/>
              <w:bottom w:type="dxa" w:w="60"/>
              <w:right w:type="dxa" w:w="80"/>
            </w:tcMar>
          </w:tcPr>
          <w:p>
            <w:r>
              <w:rPr>
                <w:b/>
                <w:bCs/>
                <w:sz w:val="21"/>
                <w:szCs w:val="21"/>
              </w:rPr>
              <w:t xml:space="preserve">Cheque Amount (Rs.)</w:t>
            </w:r>
          </w:p>
        </w:tc>
      </w:tr>
      <w:tr>
        <w:tc>
          <w:tcPr>
            <w:tcW w:type="dxa" w:w="1800"/>
            <w:tcMar>
              <w:top w:type="dxa" w:w="60"/>
              <w:left w:type="dxa" w:w="80"/>
              <w:bottom w:type="dxa" w:w="60"/>
              <w:right w:type="dxa" w:w="80"/>
            </w:tcMar>
          </w:tcPr>
          <w:p>
            <w:r>
              <w:rPr>
                <w:sz w:val="21"/>
                <w:szCs w:val="21"/>
              </w:rPr>
              <w:t xml:space="preserve">Union Metro Co-op Bank, Powai</w:t>
            </w:r>
          </w:p>
        </w:tc>
        <w:tc>
          <w:tcPr>
            <w:tcW w:type="dxa" w:w="2200"/>
            <w:tcMar>
              <w:top w:type="dxa" w:w="60"/>
              <w:left w:type="dxa" w:w="80"/>
              <w:bottom w:type="dxa" w:w="60"/>
              <w:right w:type="dxa" w:w="80"/>
            </w:tcMar>
          </w:tcPr>
          <w:p>
            <w:r>
              <w:rPr>
                <w:sz w:val="21"/>
                <w:szCs w:val="21"/>
              </w:rPr>
              <w:t xml:space="preserve">XXXXXXXX7790</w:t>
            </w:r>
          </w:p>
        </w:tc>
        <w:tc>
          <w:tcPr>
            <w:tcW w:type="dxa" w:w="2200"/>
            <w:tcMar>
              <w:top w:type="dxa" w:w="60"/>
              <w:left w:type="dxa" w:w="80"/>
              <w:bottom w:type="dxa" w:w="60"/>
              <w:right w:type="dxa" w:w="80"/>
            </w:tcMar>
          </w:tcPr>
          <w:p>
            <w:r>
              <w:rPr>
                <w:sz w:val="21"/>
                <w:szCs w:val="21"/>
              </w:rPr>
              <w:t xml:space="preserve">220118 - 220121</w:t>
            </w:r>
          </w:p>
        </w:tc>
        <w:tc>
          <w:tcPr>
            <w:tcW w:type="dxa" w:w="2000"/>
            <w:tcMar>
              <w:top w:type="dxa" w:w="60"/>
              <w:left w:type="dxa" w:w="80"/>
              <w:bottom w:type="dxa" w:w="60"/>
              <w:right w:type="dxa" w:w="80"/>
            </w:tcMar>
          </w:tcPr>
          <w:p>
            <w:r>
              <w:rPr>
                <w:sz w:val="21"/>
                <w:szCs w:val="21"/>
              </w:rPr>
              <w:t xml:space="preserve">10/04/2026 - 10/07/2026</w:t>
            </w:r>
          </w:p>
        </w:tc>
        <w:tc>
          <w:tcPr>
            <w:tcW w:type="dxa" w:w="1880"/>
            <w:tcMar>
              <w:top w:type="dxa" w:w="60"/>
              <w:left w:type="dxa" w:w="80"/>
              <w:bottom w:type="dxa" w:w="60"/>
              <w:right w:type="dxa" w:w="80"/>
            </w:tcMar>
          </w:tcPr>
          <w:p>
            <w:r>
              <w:rPr>
                <w:sz w:val="21"/>
                <w:szCs w:val="21"/>
              </w:rPr>
              <w:t xml:space="preserve">97,850/- each</w:t>
            </w:r>
          </w:p>
        </w:tc>
      </w:tr>
    </w:tbl>
    <w:p>
      <w:pPr>
        <w:spacing w:after="130"/>
      </w:pPr>
      <w:r>
        <w:rPr>
          <w:sz w:val="22"/>
          <w:szCs w:val="22"/>
        </w:rPr>
        <w:t xml:space="preserve">I hereby confirm having handed over the cheques detailed above towards repayment/security for the Loan already taken from KAVERI CAPITAL BANK, drawn in favour of "KAVERI CAPITAL BANK A/C KCB/HL/2026/552390 Home Loan", and have recorded my name on the reverse of each cheque.</w:t>
      </w:r>
    </w:p>
    <w:p>
      <w:pPr>
        <w:pBdr>
          <w:top w:val="single" w:color="999999" w:sz="4"/>
          <w:bottom w:val="single" w:color="999999" w:sz="4"/>
          <w:left w:val="single" w:color="999999" w:sz="4"/>
          <w:right w:val="single" w:color="999999" w:sz="4"/>
        </w:pBdr>
        <w:spacing w:after="260" w:before="200"/>
      </w:pPr>
      <w:r>
        <w:rPr>
          <w:b/>
          <w:bCs/>
          <w:sz w:val="22"/>
          <w:szCs w:val="22"/>
        </w:rPr>
        <w:t xml:space="preserve">   S2   </w:t>
      </w:r>
    </w:p>
    <w:p>
      <w:pPr>
        <w:spacing w:after="40" w:before="420"/>
      </w:pPr>
      <w:r>
        <w:rPr>
          <w:sz w:val="22"/>
          <w:szCs w:val="22"/>
        </w:rPr>
        <w:t xml:space="preserve">_______________________________</w:t>
      </w:r>
    </w:p>
    <w:p>
      <w:pPr>
        <w:spacing w:after="260"/>
      </w:pPr>
      <w:r>
        <w:rPr>
          <w:i/>
          <w:iCs/>
          <w:sz w:val="21"/>
          <w:szCs w:val="21"/>
        </w:rPr>
        <w:t xml:space="preserve">Customer Signature</w:t>
      </w:r>
    </w:p>
    <w:p>
      <w:pPr>
        <w:spacing w:after="140" w:before="300"/>
      </w:pPr>
      <w:r>
        <w:rPr>
          <w:b/>
          <w:bCs/>
          <w:sz w:val="27"/>
          <w:szCs w:val="27"/>
        </w:rPr>
        <w:t xml:space="preserve">Customer Standing Instruction (SI) Debit Authorisation Form</w:t>
      </w:r>
    </w:p>
    <w:p>
      <w:pPr>
        <w:spacing w:after="130"/>
      </w:pPr>
      <w:r>
        <w:rPr>
          <w:sz w:val="22"/>
          <w:szCs w:val="22"/>
        </w:rPr>
        <w:t xml:space="preserve">Loan Account No.: KCB/HL/2026/552390</w:t>
      </w:r>
    </w:p>
    <w:p>
      <w:pPr>
        <w:spacing w:after="130"/>
      </w:pPr>
      <w:r>
        <w:rPr>
          <w:sz w:val="22"/>
          <w:szCs w:val="22"/>
        </w:rPr>
        <w:t xml:space="preserve">To, The Branch Manager, KAVERI CAPITAL BANK.</w:t>
      </w:r>
    </w:p>
    <w:p>
      <w:pPr>
        <w:spacing w:after="130"/>
      </w:pPr>
      <w:r>
        <w:rPr>
          <w:sz w:val="22"/>
          <w:szCs w:val="22"/>
        </w:rPr>
        <w:t xml:space="preserve">Dear Sir/Madam, I have taken a Home Loan from the Bank and would like to avail of the Standing Instruction facility to make repayments towards my loan. I therefore request the Bank to accept this mandate to debit my account towards recovery of EMI, Outstanding Balance and other repayment dues of my loan account as per the due dates and terms and conditions mentioned in this Agreement and the Schedule.</w:t>
      </w:r>
    </w:p>
    <w:p>
      <w:pPr>
        <w:spacing w:after="130"/>
      </w:pPr>
      <w:r>
        <w:rPr>
          <w:sz w:val="22"/>
          <w:szCs w:val="22"/>
        </w:rPr>
        <w:t xml:space="preserve">I undertake to maintain sufficient balance to cover the EMI and other dues on the stipulated due dates, and understand that failure to do so shall be treated as a default in repayment. I authorise the Bank to debit my account every month with the required amount towards repayment of my loan until this authorisation is revoked in writing.</w:t>
      </w:r>
    </w:p>
    <w:p>
      <w:pPr>
        <w:pBdr>
          <w:top w:val="single" w:color="999999" w:sz="4"/>
          <w:bottom w:val="single" w:color="999999" w:sz="4"/>
          <w:left w:val="single" w:color="999999" w:sz="4"/>
          <w:right w:val="single" w:color="999999" w:sz="4"/>
        </w:pBdr>
        <w:spacing w:after="260" w:before="200"/>
      </w:pPr>
      <w:r>
        <w:rPr>
          <w:b/>
          <w:bCs/>
          <w:sz w:val="22"/>
          <w:szCs w:val="22"/>
        </w:rPr>
        <w:t xml:space="preserve">   S3   </w:t>
      </w:r>
    </w:p>
    <w:p>
      <w:pPr>
        <w:spacing w:after="40" w:before="420"/>
      </w:pPr>
      <w:r>
        <w:rPr>
          <w:sz w:val="22"/>
          <w:szCs w:val="22"/>
        </w:rPr>
        <w:t xml:space="preserve">_______________________________</w:t>
      </w:r>
    </w:p>
    <w:p>
      <w:pPr>
        <w:spacing w:after="260"/>
      </w:pPr>
      <w:r>
        <w:rPr>
          <w:i/>
          <w:iCs/>
          <w:sz w:val="21"/>
          <w:szCs w:val="21"/>
        </w:rPr>
        <w:t xml:space="preserve">Customer / Account Holder Signature</w:t>
      </w:r>
    </w:p>
    <w:p>
      <w:pPr>
        <w:spacing w:after="140" w:before="300"/>
      </w:pPr>
      <w:r>
        <w:rPr>
          <w:b/>
          <w:bCs/>
          <w:color w:val="7A1F1F"/>
          <w:sz w:val="27"/>
          <w:szCs w:val="27"/>
        </w:rPr>
        <w:t xml:space="preserve">Acceptance and Signatures</w:t>
      </w:r>
    </w:p>
    <w:p>
      <w:pPr>
        <w:spacing w:after="130"/>
      </w:pPr>
      <w:r>
        <w:rPr>
          <w:sz w:val="22"/>
          <w:szCs w:val="22"/>
        </w:rPr>
        <w:t xml:space="preserve">This document, the Schedule and the Key Fact Statement have been explained to the Borrower(s) in a language known to them, and the Borrower(s) confirm having read, understood and irrevocably agreed to all the terms and conditions contained herein, and affix their signatures below in token thereof.</w:t>
      </w:r>
    </w:p>
    <w:p>
      <w:pPr>
        <w:pBdr>
          <w:top w:val="single" w:color="999999" w:sz="4"/>
          <w:bottom w:val="single" w:color="999999" w:sz="4"/>
          <w:left w:val="single" w:color="999999" w:sz="4"/>
          <w:right w:val="single" w:color="999999" w:sz="4"/>
        </w:pBdr>
        <w:spacing w:after="260" w:before="200"/>
      </w:pPr>
      <w:r>
        <w:rPr>
          <w:b/>
          <w:bCs/>
          <w:sz w:val="22"/>
          <w:szCs w:val="22"/>
        </w:rPr>
        <w:t xml:space="preserve">   S1   </w:t>
      </w:r>
    </w:p>
    <w:p>
      <w:pPr>
        <w:spacing w:after="40" w:before="420"/>
      </w:pPr>
      <w:r>
        <w:rPr>
          <w:sz w:val="22"/>
          <w:szCs w:val="22"/>
        </w:rPr>
        <w:t xml:space="preserve">_______________________________</w:t>
      </w:r>
    </w:p>
    <w:p>
      <w:pPr>
        <w:spacing w:after="260"/>
      </w:pPr>
      <w:r>
        <w:rPr>
          <w:i/>
          <w:iCs/>
          <w:sz w:val="21"/>
          <w:szCs w:val="21"/>
        </w:rPr>
        <w:t xml:space="preserve">Signature of Borrower</w:t>
      </w:r>
    </w:p>
    <w:p>
      <w:pPr>
        <w:spacing w:after="40" w:before="420"/>
      </w:pPr>
      <w:r>
        <w:rPr>
          <w:sz w:val="22"/>
          <w:szCs w:val="22"/>
        </w:rPr>
        <w:t xml:space="preserve">_______________________________</w:t>
      </w:r>
    </w:p>
    <w:p>
      <w:pPr>
        <w:spacing w:after="260"/>
      </w:pPr>
      <w:r>
        <w:rPr>
          <w:i/>
          <w:iCs/>
          <w:sz w:val="21"/>
          <w:szCs w:val="21"/>
        </w:rPr>
        <w:t xml:space="preserve">Signature of Co-Borrower (if any)</w:t>
      </w:r>
    </w:p>
    <w:p>
      <w:pPr>
        <w:spacing w:after="40" w:before="420"/>
      </w:pPr>
      <w:r>
        <w:rPr>
          <w:sz w:val="22"/>
          <w:szCs w:val="22"/>
        </w:rPr>
        <w:t xml:space="preserve">_______________________________</w:t>
      </w:r>
    </w:p>
    <w:p>
      <w:pPr>
        <w:spacing w:after="260"/>
      </w:pPr>
      <w:r>
        <w:rPr>
          <w:i/>
          <w:iCs/>
          <w:sz w:val="21"/>
          <w:szCs w:val="21"/>
        </w:rPr>
        <w:t xml:space="preserve">Accepted by KAVERI CAPITAL BANK (Authorised Signatory)</w:t>
      </w:r>
    </w:p>
    <w:p>
      <w:pPr>
        <w:spacing w:before="320"/>
      </w:pPr>
      <w:r>
        <w:rPr>
          <w:i/>
          <w:iCs/>
          <w:color w:val="808080"/>
          <w:sz w:val="17"/>
          <w:szCs w:val="17"/>
        </w:rPr>
        <w:t xml:space="preserve">This is a fictional, illustrative loan agreement created for educational/reference purposes, showing clauses often considered borrower-unfriendly. Kaveri Capital Bank is not a real institution.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2026-09-10T10:21:39.905Z</dcterms:created>
  <dcterms:modified xsi:type="dcterms:W3CDTF">2026-09-10T10:21:39.905Z</dcterms:modified>
</cp:coreProperties>
</file>

<file path=docProps/custom.xml><?xml version="1.0" encoding="utf-8"?>
<Properties xmlns="http://schemas.openxmlformats.org/officeDocument/2006/custom-properties" xmlns:vt="http://schemas.openxmlformats.org/officeDocument/2006/docPropsVTypes"/>
</file>