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4E79"/>
          <w:sz w:val="20"/>
          <w:szCs w:val="20"/>
        </w:rPr>
        <w:t xml:space="preserve">ClickKart Microservices</w:t>
      </w:r>
    </w:p>
    <w:p>
      <w:pPr>
        <w:spacing w:after="80"/>
      </w:pPr>
      <w:r>
        <w:rPr>
          <w:rFonts w:ascii="Calibri" w:cs="Calibri" w:eastAsia="Calibri" w:hAnsi="Calibri"/>
          <w:b/>
          <w:bCs/>
          <w:sz w:val="44"/>
          <w:szCs w:val="44"/>
        </w:rPr>
        <w:t xml:space="preserve">Config Server</w:t>
      </w:r>
    </w:p>
    <w:p>
      <w:pPr>
        <w:spacing w:after="40"/>
      </w:pPr>
      <w:r>
        <w:rPr>
          <w:rFonts w:ascii="Calibri" w:cs="Calibri" w:eastAsia="Calibri" w:hAnsi="Calibri"/>
          <w:color w:val="555555"/>
          <w:sz w:val="24"/>
          <w:szCs w:val="24"/>
        </w:rPr>
        <w:t xml:space="preserve">Build Order Item 2 of 14  —  Deployment-Ready</w:t>
      </w:r>
    </w:p>
    <w:p>
      <w:pPr>
        <w:spacing w:after="300"/>
      </w:pPr>
      <w:r>
        <w:rPr>
          <w:rFonts w:ascii="Calibri" w:cs="Calibri" w:eastAsia="Calibri" w:hAnsi="Calibri"/>
          <w:i/>
          <w:iCs/>
          <w:color w:val="777777"/>
          <w:sz w:val="20"/>
          <w:szCs w:val="20"/>
        </w:rPr>
        <w:t xml:space="preserve">Java 21 · Spring Boot 4.0.7 · Spring Cloud Config 2025.1.2 · Git-backed by clickkart-config-repository</w:t>
      </w:r>
    </w:p>
    <w:p>
      <w:pPr>
        <w:pBdr>
          <w:bottom w:val="single" w:color="AAAAAA" w:sz="6"/>
        </w:pBdr>
        <w:spacing w:after="200"/>
      </w:pPr>
    </w:p>
    <w:p>
      <w:pPr>
        <w:pStyle w:val="Heading1"/>
        <w:spacing w:after="160" w:before="320"/>
      </w:pPr>
      <w:r>
        <w:t xml:space="preserve">1. Purpose &amp; Scope</w:t>
      </w:r>
    </w:p>
    <w:p>
      <w:pPr>
        <w:spacing w:after="120"/>
      </w:pPr>
      <w:r>
        <w:rPr>
          <w:rFonts w:ascii="Calibri" w:cs="Calibri" w:eastAsia="Calibri" w:hAnsi="Calibri"/>
          <w:sz w:val="22"/>
          <w:szCs w:val="22"/>
        </w:rPr>
        <w:t xml:space="preserve">The Config Server is the second component built in the ClickKart microservices stack. It centralizes environment-specific configuration (dev/test/qa/prod) for every business service built from this point forward, backed by the git repository clickkart-config-repository. It registers with Eureka (built immediately before it) as a discovery client, so downstream services can locate it without a hardcoded URL.</w:t>
      </w:r>
    </w:p>
    <w:p>
      <w:pPr>
        <w:spacing w:after="120"/>
      </w:pPr>
      <w:r>
        <w:rPr>
          <w:rFonts w:ascii="Calibri" w:cs="Calibri" w:eastAsia="Calibri" w:hAnsi="Calibri"/>
          <w:sz w:val="22"/>
          <w:szCs w:val="22"/>
        </w:rPr>
        <w:t xml:space="preserve">This document summarizes the design decisions, a blocking issue that had to be resolved before the service could work at all, the configuration and security model, containerization, and verification evidence.</w:t>
      </w:r>
    </w:p>
    <w:p>
      <w:pPr>
        <w:pStyle w:val="Heading1"/>
        <w:spacing w:after="160" w:before="320"/>
      </w:pPr>
      <w:r>
        <w:t xml:space="preserve">2. Blocking Issue: Empty Config Repository</w:t>
      </w:r>
    </w:p>
    <w:p>
      <w:pPr>
        <w:spacing w:after="120"/>
      </w:pPr>
      <w:r>
        <w:rPr>
          <w:rFonts w:ascii="Calibri" w:cs="Calibri" w:eastAsia="Calibri" w:hAnsi="Calibri"/>
          <w:sz w:val="22"/>
          <w:szCs w:val="22"/>
        </w:rPr>
        <w:t xml:space="preserve">Before any code could be verified, clickkart-config-repository was found to have zero commits and no main branch. Spring Cloud Config Server clones the repository and checks out the configured default-label at startup; against a repo with no commits, that clone fails and the server cannot boot.</w:t>
      </w:r>
    </w:p>
    <w:p>
      <w:pPr>
        <w:spacing w:after="120"/>
      </w:pPr>
      <w:r>
        <w:rPr>
          <w:rFonts w:ascii="Calibri" w:cs="Calibri" w:eastAsia="Calibri" w:hAnsi="Calibri"/>
          <w:sz w:val="22"/>
          <w:szCs w:val="22"/>
        </w:rPr>
        <w:t xml:space="preserve">With explicit authorization, the repository was seeded with a baseline global application.properties (shared by every future Config Server client) and pushed to main:</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8"/>
          <w:szCs w:val="18"/>
        </w:rPr>
        <w:t xml:space="preserve"># application.properties (root of clickkart-config-repository, branch: main)</w:t>
      </w:r>
      <w:r>
        <w:rPr>
          <w:rFonts w:ascii="Consolas" w:cs="Consolas" w:eastAsia="Consolas" w:hAnsi="Consolas"/>
          <w:sz w:val="18"/>
          <w:szCs w:val="18"/>
        </w:rPr>
        <w:br/>
        <w:t xml:space="preserve">management.endpoints.web.exposure.include=health,info</w:t>
      </w:r>
      <w:r>
        <w:rPr>
          <w:rFonts w:ascii="Consolas" w:cs="Consolas" w:eastAsia="Consolas" w:hAnsi="Consolas"/>
          <w:sz w:val="18"/>
          <w:szCs w:val="18"/>
        </w:rPr>
        <w:br/>
        <w:t xml:space="preserve">management.endpoint.health.show-details=when-authorized</w:t>
      </w:r>
    </w:p>
    <w:p>
      <w:pPr>
        <w:pStyle w:val="Heading1"/>
        <w:spacing w:after="160" w:before="320"/>
      </w:pPr>
      <w:r>
        <w:t xml:space="preserve">3. Architecture Decisions</w:t>
      </w:r>
    </w:p>
    <w:p>
      <w:pPr>
        <w:pStyle w:val="Heading2"/>
        <w:spacing w:after="120" w:before="260"/>
      </w:pPr>
      <w:r>
        <w:t xml:space="preserve">3.1 Placeholder resolution: server-side vs. client-side</w:t>
      </w:r>
    </w:p>
    <w:p>
      <w:pPr>
        <w:spacing w:after="120"/>
      </w:pPr>
      <w:r>
        <w:rPr>
          <w:rFonts w:ascii="Calibri" w:cs="Calibri" w:eastAsia="Calibri" w:hAnsi="Calibri"/>
          <w:sz w:val="22"/>
          <w:szCs w:val="22"/>
        </w:rPr>
        <w:t xml:space="preserve">A critical question before committing to this design: does Config Server resolve ${ENV_VAR} placeholders using its own process environment before serving, or pass them through for each downstream client to resolve against its own environment at its own startup? Getting this backwards would break the fail-fast secrets design used across every ClickKart service.</w:t>
      </w:r>
    </w:p>
    <w:p>
      <w:pPr>
        <w:spacing w:after="120"/>
      </w:pPr>
      <w:r>
        <w:rPr>
          <w:rFonts w:ascii="Calibri" w:cs="Calibri" w:eastAsia="Calibri" w:hAnsi="Calibri"/>
          <w:sz w:val="22"/>
          <w:szCs w:val="22"/>
        </w:rPr>
        <w:t xml:space="preserve">Verified against Spring Cloud Config's documented "Overriding Properties Using Placeholders" pattern: placeholders that don't resolve against anything Config Server itself knows about are passed through as literal text in the served payload, and are only resolved later - by each consuming service's own Spring Environment, which includes that service's own OS environment variables. This is what makes per-service secret isolation possible: Config Server never needs to hold every downstream service's secrets itself.</w:t>
      </w:r>
    </w:p>
    <w:p>
      <w:pPr>
        <w:pStyle w:val="Heading2"/>
        <w:spacing w:after="120" w:before="260"/>
      </w:pPr>
      <w:r>
        <w:t xml:space="preserve">3.2 Eureka client registration</w:t>
      </w:r>
    </w:p>
    <w:p>
      <w:pPr>
        <w:spacing w:after="120"/>
      </w:pPr>
      <w:r>
        <w:rPr>
          <w:rFonts w:ascii="Calibri" w:cs="Calibri" w:eastAsia="Calibri" w:hAnsi="Calibri"/>
          <w:sz w:val="22"/>
          <w:szCs w:val="22"/>
        </w:rPr>
        <w:t xml:space="preserve">Config Server registers with Eureka as a client (register-with-eureka=true, fetch-registry=true), so later services can discover it via Eureka instead of a hardcoded URL. Its own git backend URI, however, stays local to its own configuration - it cannot import its own bootstrap config from itself.</w:t>
      </w:r>
    </w:p>
    <w:p>
      <w:pPr>
        <w:pStyle w:val="Heading2"/>
        <w:spacing w:after="120" w:before="260"/>
      </w:pPr>
      <w:r>
        <w:t xml:space="preserve">3.3 Security</w:t>
      </w:r>
    </w:p>
    <w:p>
      <w:pPr>
        <w:spacing w:after="120"/>
      </w:pPr>
      <w:r>
        <w:rPr>
          <w:rFonts w:ascii="Calibri" w:cs="Calibri" w:eastAsia="Calibri" w:hAnsi="Calibri"/>
          <w:sz w:val="22"/>
          <w:szCs w:val="22"/>
        </w:rPr>
        <w:t xml:space="preserve">All environment-lookup endpoints (/{application}/{profile}[/{label}]) and the actuator (except /actuator/health) are protected with HTTP Basic authentication, since they can serve datasource URLs and internal topology for every other service. CSRF is disabled, matching the same reasoning used for Eureka: config clients fetch over stateless REST at boot with no CSRF token support.</w:t>
      </w:r>
    </w:p>
    <w:p>
      <w:pPr>
        <w:pStyle w:val="Heading1"/>
        <w:spacing w:after="160" w:before="320"/>
      </w:pPr>
      <w:r>
        <w:t xml:space="preserve">4. Project Structure</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8"/>
          <w:szCs w:val="18"/>
        </w:rPr>
        <w:t xml:space="preserve">clickkart-config-server/</w:t>
      </w:r>
      <w:r>
        <w:rPr>
          <w:rFonts w:ascii="Consolas" w:cs="Consolas" w:eastAsia="Consolas" w:hAnsi="Consolas"/>
          <w:sz w:val="18"/>
          <w:szCs w:val="18"/>
        </w:rPr>
        <w:br/>
        <w:t xml:space="preserve">├─ pom.xml</w:t>
      </w:r>
      <w:r>
        <w:rPr>
          <w:rFonts w:ascii="Consolas" w:cs="Consolas" w:eastAsia="Consolas" w:hAnsi="Consolas"/>
          <w:sz w:val="18"/>
          <w:szCs w:val="18"/>
        </w:rPr>
        <w:br/>
        <w:t xml:space="preserve">├─ Dockerfile</w:t>
      </w:r>
      <w:r>
        <w:rPr>
          <w:rFonts w:ascii="Consolas" w:cs="Consolas" w:eastAsia="Consolas" w:hAnsi="Consolas"/>
          <w:sz w:val="18"/>
          <w:szCs w:val="18"/>
        </w:rPr>
        <w:br/>
        <w:t xml:space="preserve">├─ docker/</w:t>
      </w:r>
      <w:r>
        <w:rPr>
          <w:rFonts w:ascii="Consolas" w:cs="Consolas" w:eastAsia="Consolas" w:hAnsi="Consolas"/>
          <w:sz w:val="18"/>
          <w:szCs w:val="18"/>
        </w:rPr>
        <w:br/>
        <w:t xml:space="preserve">│  ├─ docker-compose.yml</w:t>
      </w:r>
      <w:r>
        <w:rPr>
          <w:rFonts w:ascii="Consolas" w:cs="Consolas" w:eastAsia="Consolas" w:hAnsi="Consolas"/>
          <w:sz w:val="18"/>
          <w:szCs w:val="18"/>
        </w:rPr>
        <w:br/>
        <w:t xml:space="preserve">│  ├─ docker-compose.dev.yml</w:t>
      </w:r>
      <w:r>
        <w:rPr>
          <w:rFonts w:ascii="Consolas" w:cs="Consolas" w:eastAsia="Consolas" w:hAnsi="Consolas"/>
          <w:sz w:val="18"/>
          <w:szCs w:val="18"/>
        </w:rPr>
        <w:br/>
        <w:t xml:space="preserve">│  ├─ docker-compose.test.yml</w:t>
      </w:r>
      <w:r>
        <w:rPr>
          <w:rFonts w:ascii="Consolas" w:cs="Consolas" w:eastAsia="Consolas" w:hAnsi="Consolas"/>
          <w:sz w:val="18"/>
          <w:szCs w:val="18"/>
        </w:rPr>
        <w:br/>
        <w:t xml:space="preserve">│  ├─ docker-compose.qa.yml</w:t>
      </w:r>
      <w:r>
        <w:rPr>
          <w:rFonts w:ascii="Consolas" w:cs="Consolas" w:eastAsia="Consolas" w:hAnsi="Consolas"/>
          <w:sz w:val="18"/>
          <w:szCs w:val="18"/>
        </w:rPr>
        <w:br/>
        <w:t xml:space="preserve">│  └─ docker-compose.prod.yml</w:t>
      </w:r>
      <w:r>
        <w:rPr>
          <w:rFonts w:ascii="Consolas" w:cs="Consolas" w:eastAsia="Consolas" w:hAnsi="Consolas"/>
          <w:sz w:val="18"/>
          <w:szCs w:val="18"/>
        </w:rPr>
        <w:br/>
        <w:t xml:space="preserve">└─ src/</w:t>
      </w:r>
      <w:r>
        <w:rPr>
          <w:rFonts w:ascii="Consolas" w:cs="Consolas" w:eastAsia="Consolas" w:hAnsi="Consolas"/>
          <w:sz w:val="18"/>
          <w:szCs w:val="18"/>
        </w:rPr>
        <w:br/>
        <w:t xml:space="preserve">   ├─ main/java/com/clickkart/configserver/</w:t>
      </w:r>
      <w:r>
        <w:rPr>
          <w:rFonts w:ascii="Consolas" w:cs="Consolas" w:eastAsia="Consolas" w:hAnsi="Consolas"/>
          <w:sz w:val="18"/>
          <w:szCs w:val="18"/>
        </w:rPr>
        <w:br/>
        <w:t xml:space="preserve">   │  ├─ ConfigServerApplication.java</w:t>
      </w:r>
      <w:r>
        <w:rPr>
          <w:rFonts w:ascii="Consolas" w:cs="Consolas" w:eastAsia="Consolas" w:hAnsi="Consolas"/>
          <w:sz w:val="18"/>
          <w:szCs w:val="18"/>
        </w:rPr>
        <w:br/>
        <w:t xml:space="preserve">   │  └─ config/</w:t>
      </w:r>
      <w:r>
        <w:rPr>
          <w:rFonts w:ascii="Consolas" w:cs="Consolas" w:eastAsia="Consolas" w:hAnsi="Consolas"/>
          <w:sz w:val="18"/>
          <w:szCs w:val="18"/>
        </w:rPr>
        <w:br/>
        <w:t xml:space="preserve">   │     ├─ SecurityConfig.java</w:t>
      </w:r>
      <w:r>
        <w:rPr>
          <w:rFonts w:ascii="Consolas" w:cs="Consolas" w:eastAsia="Consolas" w:hAnsi="Consolas"/>
          <w:sz w:val="18"/>
          <w:szCs w:val="18"/>
        </w:rPr>
        <w:br/>
        <w:t xml:space="preserve">   │     └─ RequiredEurekaClientConfig.java</w:t>
      </w:r>
      <w:r>
        <w:rPr>
          <w:rFonts w:ascii="Consolas" w:cs="Consolas" w:eastAsia="Consolas" w:hAnsi="Consolas"/>
          <w:sz w:val="18"/>
          <w:szCs w:val="18"/>
        </w:rPr>
        <w:br/>
        <w:t xml:space="preserve">   ├─ main/resources/</w:t>
      </w:r>
      <w:r>
        <w:rPr>
          <w:rFonts w:ascii="Consolas" w:cs="Consolas" w:eastAsia="Consolas" w:hAnsi="Consolas"/>
          <w:sz w:val="18"/>
          <w:szCs w:val="18"/>
        </w:rPr>
        <w:br/>
        <w:t xml:space="preserve">   │  ├─ application.properties</w:t>
      </w:r>
      <w:r>
        <w:rPr>
          <w:rFonts w:ascii="Consolas" w:cs="Consolas" w:eastAsia="Consolas" w:hAnsi="Consolas"/>
          <w:sz w:val="18"/>
          <w:szCs w:val="18"/>
        </w:rPr>
        <w:br/>
        <w:t xml:space="preserve">   │  ├─ application-dev.properties</w:t>
      </w:r>
      <w:r>
        <w:rPr>
          <w:rFonts w:ascii="Consolas" w:cs="Consolas" w:eastAsia="Consolas" w:hAnsi="Consolas"/>
          <w:sz w:val="18"/>
          <w:szCs w:val="18"/>
        </w:rPr>
        <w:br/>
        <w:t xml:space="preserve">   │  ├─ application-test.properties</w:t>
      </w:r>
      <w:r>
        <w:rPr>
          <w:rFonts w:ascii="Consolas" w:cs="Consolas" w:eastAsia="Consolas" w:hAnsi="Consolas"/>
          <w:sz w:val="18"/>
          <w:szCs w:val="18"/>
        </w:rPr>
        <w:br/>
        <w:t xml:space="preserve">   │  ├─ application-qa.properties</w:t>
      </w:r>
      <w:r>
        <w:rPr>
          <w:rFonts w:ascii="Consolas" w:cs="Consolas" w:eastAsia="Consolas" w:hAnsi="Consolas"/>
          <w:sz w:val="18"/>
          <w:szCs w:val="18"/>
        </w:rPr>
        <w:br/>
        <w:t xml:space="preserve">   │  └─ application-prod.properties</w:t>
      </w:r>
      <w:r>
        <w:rPr>
          <w:rFonts w:ascii="Consolas" w:cs="Consolas" w:eastAsia="Consolas" w:hAnsi="Consolas"/>
          <w:sz w:val="18"/>
          <w:szCs w:val="18"/>
        </w:rPr>
        <w:br/>
        <w:t xml:space="preserve">   └─ test/java/com/clickkart/configserver/</w:t>
      </w:r>
      <w:r>
        <w:rPr>
          <w:rFonts w:ascii="Consolas" w:cs="Consolas" w:eastAsia="Consolas" w:hAnsi="Consolas"/>
          <w:sz w:val="18"/>
          <w:szCs w:val="18"/>
        </w:rPr>
        <w:br/>
        <w:t xml:space="preserve">      └─ ConfigServerApplicationTests.java</w:t>
      </w:r>
    </w:p>
    <w:p>
      <w:pPr>
        <w:pStyle w:val="Heading1"/>
        <w:spacing w:after="160" w:before="320"/>
      </w:pPr>
      <w:r>
        <w:t xml:space="preserve">5. Dependencies (pom.xml)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0"/>
        <w:gridCol w:w="3800"/>
      </w:tblGrid>
      <w:tr>
        <w:trPr>
          <w:tblHeader/>
        </w:trPr>
        <w:tc>
          <w:tcPr>
            <w:tcW w:type="dxa" w:w="62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Artifact</w:t>
            </w:r>
          </w:p>
        </w:tc>
        <w:tc>
          <w:tcPr>
            <w:tcW w:type="dxa" w:w="38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62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spring-cloud-config-server</w:t>
            </w:r>
          </w:p>
        </w:tc>
        <w:tc>
          <w:tcPr>
            <w:tcW w:type="dxa" w:w="38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Git-backed centralized configuration server</w:t>
            </w:r>
          </w:p>
        </w:tc>
      </w:tr>
      <w:tr>
        <w:tc>
          <w:tcPr>
            <w:tcW w:type="dxa" w:w="62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spring-cloud-starter-netflix-eureka-client</w:t>
            </w:r>
          </w:p>
        </w:tc>
        <w:tc>
          <w:tcPr>
            <w:tcW w:type="dxa" w:w="38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Registers this service with Eureka</w:t>
            </w:r>
          </w:p>
        </w:tc>
      </w:tr>
      <w:tr>
        <w:tc>
          <w:tcPr>
            <w:tcW w:type="dxa" w:w="62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spring-boot-starter-security</w:t>
            </w:r>
          </w:p>
        </w:tc>
        <w:tc>
          <w:tcPr>
            <w:tcW w:type="dxa" w:w="38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HTTP Basic auth for config endpoints</w:t>
            </w:r>
          </w:p>
        </w:tc>
      </w:tr>
      <w:tr>
        <w:tc>
          <w:tcPr>
            <w:tcW w:type="dxa" w:w="62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spring-boot-starter-actuator</w:t>
            </w:r>
          </w:p>
        </w:tc>
        <w:tc>
          <w:tcPr>
            <w:tcW w:type="dxa" w:w="38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Health, info, container probes</w:t>
            </w:r>
          </w:p>
        </w:tc>
      </w:tr>
      <w:tr>
        <w:tc>
          <w:tcPr>
            <w:tcW w:type="dxa" w:w="62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spring-boot-starter-test / spring-boot-starter-webmvc-test</w:t>
            </w:r>
          </w:p>
        </w:tc>
        <w:tc>
          <w:tcPr>
            <w:tcW w:type="dxa" w:w="38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JUnit 5, MockMvc (Boot 4 split this out of starter-test)</w:t>
            </w:r>
          </w:p>
        </w:tc>
      </w:tr>
      <w:tr>
        <w:tc>
          <w:tcPr>
            <w:tcW w:type="dxa" w:w="62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spring-security-test</w:t>
            </w:r>
          </w:p>
        </w:tc>
        <w:tc>
          <w:tcPr>
            <w:tcW w:type="dxa" w:w="38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Basic-auth test request post-processors</w:t>
            </w:r>
          </w:p>
        </w:tc>
      </w:tr>
    </w:tbl>
    <w:p>
      <w:pPr>
        <w:spacing w:after="200"/>
      </w:pPr>
    </w:p>
    <w:p>
      <w:pPr>
        <w:pStyle w:val="Heading1"/>
        <w:spacing w:after="160" w:before="320"/>
      </w:pPr>
      <w:r>
        <w:t xml:space="preserve">6. Decision Log</w:t>
      </w:r>
    </w:p>
    <w:p>
      <w:pPr>
        <w:spacing w:after="120"/>
      </w:pPr>
      <w:r>
        <w:rPr>
          <w:rFonts w:ascii="Calibri" w:cs="Calibri" w:eastAsia="Calibri" w:hAnsi="Calibri"/>
          <w:sz w:val="22"/>
          <w:szCs w:val="22"/>
        </w:rPr>
        <w:t xml:space="preserve">Notable findings and fixes during this build:</w:t>
      </w:r>
    </w:p>
    <w:p>
      <w:pPr>
        <w:pStyle w:val="ListParagraph"/>
        <w:numPr>
          <w:ilvl w:val="0"/>
          <w:numId w:val="2"/>
        </w:numPr>
        <w:spacing w:after="60"/>
      </w:pPr>
      <w:r>
        <w:rPr>
          <w:rFonts w:ascii="Calibri" w:cs="Calibri" w:eastAsia="Calibri" w:hAnsi="Calibri"/>
          <w:sz w:val="22"/>
          <w:szCs w:val="22"/>
        </w:rPr>
        <w:t xml:space="preserve">Discovered the config repository was empty and would prevent Config Server from ever booting; seeded it with the baseline global application.properties with explicit user authorization before proceeding.</w:t>
      </w:r>
    </w:p>
    <w:p>
      <w:pPr>
        <w:pStyle w:val="ListParagraph"/>
        <w:numPr>
          <w:ilvl w:val="0"/>
          <w:numId w:val="2"/>
        </w:numPr>
        <w:spacing w:after="60"/>
      </w:pPr>
      <w:r>
        <w:rPr>
          <w:rFonts w:ascii="Calibri" w:cs="Calibri" w:eastAsia="Calibri" w:hAnsi="Calibri"/>
          <w:sz w:val="22"/>
          <w:szCs w:val="22"/>
        </w:rPr>
        <w:t xml:space="preserve">Continued from a project skeleton already present on disk (from earlier in this session) rather than rewriting it, after auditing it line-by-line against everything learned while building Eureka.</w:t>
      </w:r>
    </w:p>
    <w:p>
      <w:pPr>
        <w:pStyle w:val="ListParagraph"/>
        <w:numPr>
          <w:ilvl w:val="0"/>
          <w:numId w:val="2"/>
        </w:numPr>
        <w:spacing w:after="60"/>
      </w:pPr>
      <w:r>
        <w:rPr>
          <w:rFonts w:ascii="Calibri" w:cs="Calibri" w:eastAsia="Calibri" w:hAnsi="Calibri"/>
          <w:sz w:val="22"/>
          <w:szCs w:val="22"/>
        </w:rPr>
        <w:t xml:space="preserve">Fixed the same Spring Boot 4 MockMvc break found during the Eureka build: added spring-boot-starter-webmvc-test and updated the test's import to org.springframework.boot.webmvc.test.autoconfigure.AutoConfigureMockMvc.</w:t>
      </w:r>
    </w:p>
    <w:p>
      <w:pPr>
        <w:pStyle w:val="ListParagraph"/>
        <w:numPr>
          <w:ilvl w:val="0"/>
          <w:numId w:val="2"/>
        </w:numPr>
        <w:spacing w:after="60"/>
      </w:pPr>
      <w:r>
        <w:rPr>
          <w:rFonts w:ascii="Calibri" w:cs="Calibri" w:eastAsia="Calibri" w:hAnsi="Calibri"/>
          <w:sz w:val="22"/>
          <w:szCs w:val="22"/>
        </w:rPr>
        <w:t xml:space="preserve">Fixed the same Map&lt;String,String&gt; fail-fast gap found on the Eureka side: eureka.client.service-url.defaultZone does not validate unresolved placeholders through Spring's normal Binder path. Added RequiredEurekaCredentialsConfig (test/qa/prod) and RequiredProdEurekaHostConfig (prod only, since EUREKA_SERVER_HOST has legitimate defaults in test/qa) to force eager @Value resolution.</w:t>
      </w:r>
    </w:p>
    <w:p>
      <w:pPr>
        <w:pStyle w:val="ListParagraph"/>
        <w:numPr>
          <w:ilvl w:val="0"/>
          <w:numId w:val="2"/>
        </w:numPr>
        <w:spacing w:after="60"/>
      </w:pPr>
      <w:r>
        <w:rPr>
          <w:rFonts w:ascii="Calibri" w:cs="Calibri" w:eastAsia="Calibri" w:hAnsi="Calibri"/>
          <w:sz w:val="22"/>
          <w:szCs w:val="22"/>
        </w:rPr>
        <w:t xml:space="preserve">Fixed Eureka's own docker-compose.yml to declare an explicit network name (name: clickkart-net) instead of relying on directory-name coincidence, so the two services' Docker networks join reliably when composed together.</w:t>
      </w:r>
    </w:p>
    <w:p>
      <w:pPr>
        <w:pStyle w:val="ListParagraph"/>
        <w:numPr>
          <w:ilvl w:val="0"/>
          <w:numId w:val="2"/>
        </w:numPr>
        <w:spacing w:after="60"/>
      </w:pPr>
      <w:r>
        <w:rPr>
          <w:rFonts w:ascii="Calibri" w:cs="Calibri" w:eastAsia="Calibri" w:hAnsi="Calibri"/>
          <w:sz w:val="22"/>
          <w:szCs w:val="22"/>
        </w:rPr>
        <w:t xml:space="preserve">Created the missing docker-compose.dev/test/qa/prod.yml override files for Config Server - only the base compose file existed.</w:t>
      </w:r>
    </w:p>
    <w:p>
      <w:pPr>
        <w:pStyle w:val="Heading1"/>
        <w:spacing w:after="160" w:before="320"/>
      </w:pPr>
      <w:r>
        <w:t xml:space="preserve">7. Verification Evidence</w:t>
      </w:r>
    </w:p>
    <w:p>
      <w:pPr>
        <w:spacing w:after="120"/>
      </w:pPr>
      <w:r>
        <w:rPr>
          <w:rFonts w:ascii="Calibri" w:cs="Calibri" w:eastAsia="Calibri" w:hAnsi="Calibri"/>
          <w:sz w:val="22"/>
          <w:szCs w:val="22"/>
        </w:rPr>
        <w:t xml:space="preserve">All four profiles were run as real containers against the real, seeded clickkart-config-repository and a real, separately-running Eureka container - not mocks: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200"/>
        <w:gridCol w:w="4800"/>
      </w:tblGrid>
      <w:tr>
        <w:trPr>
          <w:tblHeader/>
        </w:trPr>
        <w:tc>
          <w:tcPr>
            <w:tcW w:type="dxa" w:w="52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Check</w:t>
            </w:r>
          </w:p>
        </w:tc>
        <w:tc>
          <w:tcPr>
            <w:tcW w:type="dxa" w:w="48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Result</w:t>
            </w:r>
          </w:p>
        </w:tc>
      </w:tr>
      <w:tr>
        <w:tc>
          <w:tcPr>
            <w:tcW w:type="dxa" w:w="52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Image build</w:t>
            </w:r>
          </w:p>
        </w:tc>
        <w:tc>
          <w:tcPr>
            <w:tcW w:type="dxa" w:w="4800"/>
            <w:shd w:fill="FFFFFF" w:val="clear"/>
            <w:tcMar>
              <w:top w:type="dxa" w:w="80"/>
              <w:left w:type="dxa" w:w="120"/>
              <w:bottom w:type="dxa" w:w="80"/>
              <w:right w:type="dxa" w:w="120"/>
            </w:tcMar>
          </w:tcPr>
          <w:p>
            <w:r>
              <w:rPr>
                <w:rFonts w:ascii="Calibri" w:cs="Calibri" w:eastAsia="Calibri" w:hAnsi="Calibri"/>
                <w:b w:val="false"/>
                <w:bCs w:val="false"/>
                <w:color w:val="1E7B34"/>
                <w:sz w:val="20"/>
                <w:szCs w:val="20"/>
              </w:rPr>
              <w:t xml:space="preserve">Pass</w:t>
            </w:r>
          </w:p>
        </w:tc>
      </w:tr>
      <w:tr>
        <w:tc>
          <w:tcPr>
            <w:tcW w:type="dxa" w:w="52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mvn test (3 tests)</w:t>
            </w:r>
          </w:p>
        </w:tc>
        <w:tc>
          <w:tcPr>
            <w:tcW w:type="dxa" w:w="4800"/>
            <w:shd w:fill="FFFFFF" w:val="clear"/>
            <w:tcMar>
              <w:top w:type="dxa" w:w="80"/>
              <w:left w:type="dxa" w:w="120"/>
              <w:bottom w:type="dxa" w:w="80"/>
              <w:right w:type="dxa" w:w="120"/>
            </w:tcMar>
          </w:tcPr>
          <w:p>
            <w:r>
              <w:rPr>
                <w:rFonts w:ascii="Calibri" w:cs="Calibri" w:eastAsia="Calibri" w:hAnsi="Calibri"/>
                <w:b w:val="false"/>
                <w:bCs w:val="false"/>
                <w:color w:val="1E7B34"/>
                <w:sz w:val="20"/>
                <w:szCs w:val="20"/>
              </w:rPr>
              <w:t xml:space="preserve">Pass — 0 failures, 0 errors</w:t>
            </w:r>
          </w:p>
        </w:tc>
      </w:tr>
      <w:tr>
        <w:tc>
          <w:tcPr>
            <w:tcW w:type="dxa" w:w="52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Clones the real clickkart-config-repository</w:t>
            </w:r>
          </w:p>
        </w:tc>
        <w:tc>
          <w:tcPr>
            <w:tcW w:type="dxa" w:w="4800"/>
            <w:shd w:fill="FFFFFF" w:val="clear"/>
            <w:tcMar>
              <w:top w:type="dxa" w:w="80"/>
              <w:left w:type="dxa" w:w="120"/>
              <w:bottom w:type="dxa" w:w="80"/>
              <w:right w:type="dxa" w:w="120"/>
            </w:tcMar>
          </w:tcPr>
          <w:p>
            <w:r>
              <w:rPr>
                <w:rFonts w:ascii="Calibri" w:cs="Calibri" w:eastAsia="Calibri" w:hAnsi="Calibri"/>
                <w:b w:val="false"/>
                <w:bCs w:val="false"/>
                <w:color w:val="1E7B34"/>
                <w:sz w:val="20"/>
                <w:szCs w:val="20"/>
              </w:rPr>
              <w:t xml:space="preserve">Confirmed via health endpoint's source URL</w:t>
            </w:r>
          </w:p>
        </w:tc>
      </w:tr>
      <w:tr>
        <w:tc>
          <w:tcPr>
            <w:tcW w:type="dxa" w:w="52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Registers with a real, separate Eureka container</w:t>
            </w:r>
          </w:p>
        </w:tc>
        <w:tc>
          <w:tcPr>
            <w:tcW w:type="dxa" w:w="4800"/>
            <w:shd w:fill="FFFFFF" w:val="clear"/>
            <w:tcMar>
              <w:top w:type="dxa" w:w="80"/>
              <w:left w:type="dxa" w:w="120"/>
              <w:bottom w:type="dxa" w:w="80"/>
              <w:right w:type="dxa" w:w="120"/>
            </w:tcMar>
          </w:tcPr>
          <w:p>
            <w:r>
              <w:rPr>
                <w:rFonts w:ascii="Calibri" w:cs="Calibri" w:eastAsia="Calibri" w:hAnsi="Calibri"/>
                <w:b w:val="false"/>
                <w:bCs w:val="false"/>
                <w:color w:val="1E7B34"/>
                <w:sz w:val="20"/>
                <w:szCs w:val="20"/>
              </w:rPr>
              <w:t xml:space="preserve">Confirmed via Eureka's own /eureka/apps view</w:t>
            </w:r>
          </w:p>
        </w:tc>
      </w:tr>
      <w:tr>
        <w:tc>
          <w:tcPr>
            <w:tcW w:type="dxa" w:w="52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GET /clickkart-eureka-server/dev, unauthenticated</w:t>
            </w:r>
          </w:p>
        </w:tc>
        <w:tc>
          <w:tcPr>
            <w:tcW w:type="dxa" w:w="4800"/>
            <w:shd w:fill="FFFFFF" w:val="clear"/>
            <w:tcMar>
              <w:top w:type="dxa" w:w="80"/>
              <w:left w:type="dxa" w:w="120"/>
              <w:bottom w:type="dxa" w:w="80"/>
              <w:right w:type="dxa" w:w="120"/>
            </w:tcMar>
          </w:tcPr>
          <w:p>
            <w:r>
              <w:rPr>
                <w:rFonts w:ascii="Calibri" w:cs="Calibri" w:eastAsia="Calibri" w:hAnsi="Calibri"/>
                <w:b w:val="false"/>
                <w:bCs w:val="false"/>
                <w:color w:val="1E7B34"/>
                <w:sz w:val="20"/>
                <w:szCs w:val="20"/>
              </w:rPr>
              <w:t xml:space="preserve">401</w:t>
            </w:r>
          </w:p>
        </w:tc>
      </w:tr>
      <w:tr>
        <w:tc>
          <w:tcPr>
            <w:tcW w:type="dxa" w:w="52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Same request, authenticated</w:t>
            </w:r>
          </w:p>
        </w:tc>
        <w:tc>
          <w:tcPr>
            <w:tcW w:type="dxa" w:w="4800"/>
            <w:shd w:fill="FFFFFF" w:val="clear"/>
            <w:tcMar>
              <w:top w:type="dxa" w:w="80"/>
              <w:left w:type="dxa" w:w="120"/>
              <w:bottom w:type="dxa" w:w="80"/>
              <w:right w:type="dxa" w:w="120"/>
            </w:tcMar>
          </w:tcPr>
          <w:p>
            <w:r>
              <w:rPr>
                <w:rFonts w:ascii="Calibri" w:cs="Calibri" w:eastAsia="Calibri" w:hAnsi="Calibri"/>
                <w:b w:val="false"/>
                <w:bCs w:val="false"/>
                <w:color w:val="1E7B34"/>
                <w:sz w:val="20"/>
                <w:szCs w:val="20"/>
              </w:rPr>
              <w:t xml:space="preserve">200, real seeded properties + git commit SHA</w:t>
            </w:r>
          </w:p>
        </w:tc>
      </w:tr>
      <w:tr>
        <w:tc>
          <w:tcPr>
            <w:tcW w:type="dxa" w:w="52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dev boots with defaults</w:t>
            </w:r>
          </w:p>
        </w:tc>
        <w:tc>
          <w:tcPr>
            <w:tcW w:type="dxa" w:w="4800"/>
            <w:shd w:fill="FFFFFF" w:val="clear"/>
            <w:tcMar>
              <w:top w:type="dxa" w:w="80"/>
              <w:left w:type="dxa" w:w="120"/>
              <w:bottom w:type="dxa" w:w="80"/>
              <w:right w:type="dxa" w:w="120"/>
            </w:tcMar>
          </w:tcPr>
          <w:p>
            <w:r>
              <w:rPr>
                <w:rFonts w:ascii="Calibri" w:cs="Calibri" w:eastAsia="Calibri" w:hAnsi="Calibri"/>
                <w:b w:val="false"/>
                <w:bCs w:val="false"/>
                <w:color w:val="1E7B34"/>
                <w:sz w:val="20"/>
                <w:szCs w:val="20"/>
              </w:rPr>
              <w:t xml:space="preserve">Pass</w:t>
            </w:r>
          </w:p>
        </w:tc>
      </w:tr>
      <w:tr>
        <w:tc>
          <w:tcPr>
            <w:tcW w:type="dxa" w:w="52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test/qa/prod fail fast on missing secrets/host</w:t>
            </w:r>
          </w:p>
        </w:tc>
        <w:tc>
          <w:tcPr>
            <w:tcW w:type="dxa" w:w="4800"/>
            <w:shd w:fill="FFFFFF" w:val="clear"/>
            <w:tcMar>
              <w:top w:type="dxa" w:w="80"/>
              <w:left w:type="dxa" w:w="120"/>
              <w:bottom w:type="dxa" w:w="80"/>
              <w:right w:type="dxa" w:w="120"/>
            </w:tcMar>
          </w:tcPr>
          <w:p>
            <w:r>
              <w:rPr>
                <w:rFonts w:ascii="Calibri" w:cs="Calibri" w:eastAsia="Calibri" w:hAnsi="Calibri"/>
                <w:b w:val="false"/>
                <w:bCs w:val="false"/>
                <w:color w:val="1E7B34"/>
                <w:sz w:val="20"/>
                <w:szCs w:val="20"/>
              </w:rPr>
              <w:t xml:space="preserve">Pass — exact PlaceholderResolutionException on the missing var</w:t>
            </w:r>
          </w:p>
        </w:tc>
      </w:tr>
      <w:tr>
        <w:tc>
          <w:tcPr>
            <w:tcW w:type="dxa" w:w="52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test/qa/prod boot cleanly when fully configured</w:t>
            </w:r>
          </w:p>
        </w:tc>
        <w:tc>
          <w:tcPr>
            <w:tcW w:type="dxa" w:w="4800"/>
            <w:shd w:fill="FFFFFF" w:val="clear"/>
            <w:tcMar>
              <w:top w:type="dxa" w:w="80"/>
              <w:left w:type="dxa" w:w="120"/>
              <w:bottom w:type="dxa" w:w="80"/>
              <w:right w:type="dxa" w:w="120"/>
            </w:tcMar>
          </w:tcPr>
          <w:p>
            <w:r>
              <w:rPr>
                <w:rFonts w:ascii="Calibri" w:cs="Calibri" w:eastAsia="Calibri" w:hAnsi="Calibri"/>
                <w:b w:val="false"/>
                <w:bCs w:val="false"/>
                <w:color w:val="1E7B34"/>
                <w:sz w:val="20"/>
                <w:szCs w:val="20"/>
              </w:rPr>
              <w:t xml:space="preserve">Pass</w:t>
            </w:r>
          </w:p>
        </w:tc>
      </w:tr>
    </w:tbl>
    <w:p>
      <w:pPr>
        <w:spacing w:after="200"/>
      </w:pPr>
    </w:p>
    <w:p>
      <w:pPr>
        <w:pStyle w:val="Heading1"/>
        <w:spacing w:after="160" w:before="320"/>
      </w:pPr>
      <w:r>
        <w:t xml:space="preserve">8. Deployment-Ready Checklist</w:t>
      </w:r>
    </w:p>
    <w:p>
      <w:pPr>
        <w:pStyle w:val="ListParagraph"/>
        <w:numPr>
          <w:ilvl w:val="0"/>
          <w:numId w:val="2"/>
        </w:numPr>
        <w:spacing w:after="60"/>
      </w:pPr>
      <w:r>
        <w:rPr>
          <w:rFonts w:ascii="Calibri" w:cs="Calibri" w:eastAsia="Calibri" w:hAnsi="Calibri"/>
          <w:sz w:val="22"/>
          <w:szCs w:val="22"/>
        </w:rPr>
        <w:t xml:space="preserve">Builds and runs standalone; registers with Eureka and serves config, verified under all 4 profiles</w:t>
      </w:r>
    </w:p>
    <w:p>
      <w:pPr>
        <w:pStyle w:val="ListParagraph"/>
        <w:numPr>
          <w:ilvl w:val="0"/>
          <w:numId w:val="2"/>
        </w:numPr>
        <w:spacing w:after="60"/>
      </w:pPr>
      <w:r>
        <w:rPr>
          <w:rFonts w:ascii="Calibri" w:cs="Calibri" w:eastAsia="Calibri" w:hAnsi="Calibri"/>
          <w:sz w:val="22"/>
          <w:szCs w:val="22"/>
        </w:rPr>
        <w:t xml:space="preserve">No database/migration; zero stub/TODO methods</w:t>
      </w:r>
    </w:p>
    <w:p>
      <w:pPr>
        <w:pStyle w:val="ListParagraph"/>
        <w:numPr>
          <w:ilvl w:val="0"/>
          <w:numId w:val="2"/>
        </w:numPr>
        <w:spacing w:after="60"/>
      </w:pPr>
      <w:r>
        <w:rPr>
          <w:rFonts w:ascii="Calibri" w:cs="Calibri" w:eastAsia="Calibri" w:hAnsi="Calibri"/>
          <w:sz w:val="22"/>
          <w:szCs w:val="22"/>
        </w:rPr>
        <w:t xml:space="preserve">No Feign clients yet (nothing downstream built)</w:t>
      </w:r>
    </w:p>
    <w:p>
      <w:pPr>
        <w:pStyle w:val="ListParagraph"/>
        <w:numPr>
          <w:ilvl w:val="0"/>
          <w:numId w:val="2"/>
        </w:numPr>
        <w:spacing w:after="60"/>
      </w:pPr>
      <w:r>
        <w:rPr>
          <w:rFonts w:ascii="Calibri" w:cs="Calibri" w:eastAsia="Calibri" w:hAnsi="Calibri"/>
          <w:sz w:val="22"/>
          <w:szCs w:val="22"/>
        </w:rPr>
        <w:t xml:space="preserve">Docker image + compose base and 4 environment overrides in place</w:t>
      </w:r>
    </w:p>
    <w:p>
      <w:pPr>
        <w:pStyle w:val="ListParagraph"/>
        <w:numPr>
          <w:ilvl w:val="0"/>
          <w:numId w:val="2"/>
        </w:numPr>
        <w:spacing w:after="60"/>
      </w:pPr>
      <w:r>
        <w:rPr>
          <w:rFonts w:ascii="Calibri" w:cs="Calibri" w:eastAsia="Calibri" w:hAnsi="Calibri"/>
          <w:sz w:val="22"/>
          <w:szCs w:val="22"/>
        </w:rPr>
        <w:t xml:space="preserve">Secrets: dev has flagged fake defaults; test/qa/prod fail fast — proven via the two Map-binding fixes, not assumed</w:t>
      </w:r>
    </w:p>
    <w:p>
      <w:pPr>
        <w:pStyle w:val="ListParagraph"/>
        <w:numPr>
          <w:ilvl w:val="0"/>
          <w:numId w:val="2"/>
        </w:numPr>
        <w:spacing w:after="60"/>
      </w:pPr>
      <w:r>
        <w:rPr>
          <w:rFonts w:ascii="Calibri" w:cs="Calibri" w:eastAsia="Calibri" w:hAnsi="Calibri"/>
          <w:sz w:val="22"/>
          <w:szCs w:val="22"/>
        </w:rPr>
        <w:t xml:space="preserve">Config-serving endpoints and actuator secured with HTTP Basic; only /actuator/health left open</w:t>
      </w:r>
    </w:p>
    <w:p>
      <w:pPr>
        <w:pStyle w:val="ListParagraph"/>
        <w:numPr>
          <w:ilvl w:val="0"/>
          <w:numId w:val="2"/>
        </w:numPr>
        <w:spacing w:after="60"/>
      </w:pPr>
      <w:r>
        <w:rPr>
          <w:rFonts w:ascii="Calibri" w:cs="Calibri" w:eastAsia="Calibri" w:hAnsi="Calibri"/>
          <w:sz w:val="22"/>
          <w:szCs w:val="22"/>
        </w:rPr>
        <w:t xml:space="preserve">Correlation-ID rule not applicable — Config Server has no business request path</w:t>
      </w:r>
    </w:p>
    <w:p>
      <w:pPr>
        <w:pStyle w:val="ListParagraph"/>
        <w:numPr>
          <w:ilvl w:val="0"/>
          <w:numId w:val="2"/>
        </w:numPr>
        <w:spacing w:after="60"/>
      </w:pPr>
      <w:r>
        <w:rPr>
          <w:rFonts w:ascii="Calibri" w:cs="Calibri" w:eastAsia="Calibri" w:hAnsi="Calibri"/>
          <w:sz w:val="22"/>
          <w:szCs w:val="22"/>
        </w:rPr>
        <w:t xml:space="preserve">Every file labeled with its exact path</w:t>
      </w:r>
    </w:p>
    <w:p>
      <w:pPr>
        <w:pStyle w:val="ListParagraph"/>
        <w:numPr>
          <w:ilvl w:val="0"/>
          <w:numId w:val="2"/>
        </w:numPr>
        <w:spacing w:after="60"/>
      </w:pPr>
      <w:r>
        <w:rPr>
          <w:rFonts w:ascii="Calibri" w:cs="Calibri" w:eastAsia="Calibri" w:hAnsi="Calibri"/>
          <w:sz w:val="22"/>
          <w:szCs w:val="22"/>
        </w:rPr>
        <w:t xml:space="preserve">Repository pointed at the real clickkart-config-repository, main branch, explicit search-paths/default-label — repo seeded since it was empty</w:t>
      </w:r>
    </w:p>
    <w:p>
      <w:pPr>
        <w:spacing w:before="300"/>
      </w:pPr>
    </w:p>
    <w:p>
      <w:r>
        <w:rPr>
          <w:rFonts w:ascii="Calibri" w:cs="Calibri" w:eastAsia="Calibri" w:hAnsi="Calibri"/>
          <w:b/>
          <w:bCs/>
          <w:color w:val="1F4E79"/>
          <w:sz w:val="22"/>
          <w:szCs w:val="22"/>
        </w:rPr>
        <w:t xml:space="preserve">Status: Config Server confirmed deployable. Next: build the API Gateway (item 3 of 14).</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2026-08-01T10:14:17.325Z</dcterms:created>
  <dcterms:modified xsi:type="dcterms:W3CDTF">2026-08-01T10:14:17.334Z</dcterms:modified>
</cp:coreProperties>
</file>

<file path=docProps/custom.xml><?xml version="1.0" encoding="utf-8"?>
<Properties xmlns="http://schemas.openxmlformats.org/officeDocument/2006/custom-properties" xmlns:vt="http://schemas.openxmlformats.org/officeDocument/2006/docPropsVTypes"/>
</file>