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20"/>
          <w:szCs w:val="20"/>
        </w:rPr>
        <w:t xml:space="preserve">ClickKart Microservices</w:t>
      </w:r>
    </w:p>
    <w:p>
      <w:pPr>
        <w:spacing w:after="80"/>
      </w:pPr>
      <w:r>
        <w:rPr>
          <w:rFonts w:ascii="Calibri" w:cs="Calibri" w:eastAsia="Calibri" w:hAnsi="Calibri"/>
          <w:b/>
          <w:bCs/>
          <w:sz w:val="44"/>
          <w:szCs w:val="44"/>
        </w:rPr>
        <w:t xml:space="preserve">Eureka Discovery Server</w:t>
      </w:r>
    </w:p>
    <w:p>
      <w:pPr>
        <w:spacing w:after="40"/>
      </w:pPr>
      <w:r>
        <w:rPr>
          <w:rFonts w:ascii="Calibri" w:cs="Calibri" w:eastAsia="Calibri" w:hAnsi="Calibri"/>
          <w:color w:val="555555"/>
          <w:sz w:val="24"/>
          <w:szCs w:val="24"/>
        </w:rPr>
        <w:t xml:space="preserve">Build Order Item 1 of 14  —  Deployment-Ready</w:t>
      </w:r>
    </w:p>
    <w:p>
      <w:pPr>
        <w:spacing w:after="300"/>
      </w:pPr>
      <w:r>
        <w:rPr>
          <w:rFonts w:ascii="Calibri" w:cs="Calibri" w:eastAsia="Calibri" w:hAnsi="Calibri"/>
          <w:i/>
          <w:iCs/>
          <w:color w:val="777777"/>
          <w:sz w:val="20"/>
          <w:szCs w:val="20"/>
        </w:rPr>
        <w:t xml:space="preserve">Java 21 · Spring Boot 4.0.7 · Spring Cloud 2025.1.2 (Oakwood) · Spring Cloud Netflix 5.0.2</w:t>
      </w:r>
    </w:p>
    <w:p>
      <w:pPr>
        <w:pBdr>
          <w:bottom w:val="single" w:color="AAAAAA" w:sz="6"/>
        </w:pBdr>
        <w:spacing w:after="200"/>
      </w:pPr>
    </w:p>
    <w:p>
      <w:pPr>
        <w:pStyle w:val="Heading1"/>
        <w:spacing w:after="160" w:before="320"/>
      </w:pPr>
      <w:r>
        <w:t xml:space="preserve">1. Purpose &amp; Scope</w:t>
      </w:r>
    </w:p>
    <w:p>
      <w:pPr>
        <w:spacing w:after="120"/>
      </w:pPr>
      <w:r>
        <w:rPr>
          <w:rFonts w:ascii="Calibri" w:cs="Calibri" w:eastAsia="Calibri" w:hAnsi="Calibri"/>
          <w:sz w:val="22"/>
          <w:szCs w:val="22"/>
        </w:rPr>
        <w:t xml:space="preserve">The Eureka Discovery Server is the first component built in the ClickKart microservices stack. It is the service registry every other ClickKart service will register with and discover peers through, including the Config Server that is built immediately after it. Because everything else depends on Eureka, it is deliberately self-contained: it does not read its configuration from the Config Server, avoiding a circular bootstrap dependency (Eureka needing Config Server, which in turn may rely on Eureka).</w:t>
      </w:r>
    </w:p>
    <w:p>
      <w:pPr>
        <w:spacing w:after="120"/>
      </w:pPr>
      <w:r>
        <w:rPr>
          <w:rFonts w:ascii="Calibri" w:cs="Calibri" w:eastAsia="Calibri" w:hAnsi="Calibri"/>
          <w:sz w:val="22"/>
          <w:szCs w:val="22"/>
        </w:rPr>
        <w:t xml:space="preserve">This document summarizes the design decisions, configuration, security model, containerization, and verification evidence for this service.</w:t>
      </w:r>
    </w:p>
    <w:p>
      <w:pPr>
        <w:pStyle w:val="Heading1"/>
        <w:spacing w:after="160" w:before="320"/>
      </w:pPr>
      <w:r>
        <w:t xml:space="preserve">2. Architecture Decisions</w:t>
      </w:r>
    </w:p>
    <w:p>
      <w:pPr>
        <w:pStyle w:val="Heading2"/>
        <w:spacing w:after="120" w:before="260"/>
      </w:pPr>
      <w:r>
        <w:t xml:space="preserve">2.1 Standalone configuration, not Config-Server-backed</w:t>
      </w:r>
    </w:p>
    <w:p>
      <w:pPr>
        <w:spacing w:after="120"/>
      </w:pPr>
      <w:r>
        <w:rPr>
          <w:rFonts w:ascii="Calibri" w:cs="Calibri" w:eastAsia="Calibri" w:hAnsi="Calibri"/>
          <w:sz w:val="22"/>
          <w:szCs w:val="22"/>
        </w:rPr>
        <w:t xml:space="preserve">Eureka's four environment profiles (dev/test/qa/prod) are defined locally in the project as .properties files, not fetched from the clickkart-config-repository. This was an explicit decision confirmed during the build (see Section 7 – Decision Log) and matches common real-world Spring Cloud practice: the discovery server is bootstrap infrastructure and should not depend on anything discovered through itself.</w:t>
      </w:r>
    </w:p>
    <w:p>
      <w:pPr>
        <w:pStyle w:val="Heading2"/>
        <w:spacing w:after="120" w:before="260"/>
      </w:pPr>
      <w:r>
        <w:t xml:space="preserve">2.2 Security</w:t>
      </w:r>
    </w:p>
    <w:p>
      <w:pPr>
        <w:spacing w:after="120"/>
      </w:pPr>
      <w:r>
        <w:rPr>
          <w:rFonts w:ascii="Calibri" w:cs="Calibri" w:eastAsia="Calibri" w:hAnsi="Calibri"/>
          <w:sz w:val="22"/>
          <w:szCs w:val="22"/>
        </w:rPr>
        <w:t xml:space="preserve">The Eureka dashboard and its REST registration API (/eureka/**) are protected with HTTP Basic authentication so the registry cannot be scraped or polluted by unauthenticated clients. CSRF protection is disabled, matching Spring Cloud Netflix's own documented guidance for securing a Eureka server, since all /eureka/** traffic is stateless REST, not browser form submissions. Only /actuator/health is left open, for container and Kubernetes liveness/readiness probes.</w:t>
      </w:r>
    </w:p>
    <w:p>
      <w:pPr>
        <w:pStyle w:val="Heading2"/>
        <w:spacing w:after="120" w:before="260"/>
      </w:pPr>
      <w:r>
        <w:t xml:space="preserve">2.3 High availability posture</w:t>
      </w:r>
    </w:p>
    <w:p>
      <w:pPr>
        <w:spacing w:after="120"/>
      </w:pPr>
      <w:r>
        <w:rPr>
          <w:rFonts w:ascii="Calibri" w:cs="Calibri" w:eastAsia="Calibri" w:hAnsi="Calibri"/>
          <w:sz w:val="22"/>
          <w:szCs w:val="22"/>
        </w:rPr>
        <w:t xml:space="preserve">dev and test run as single, non-clustered nodes (register-with-eureka and fetch-registry disabled). qa and prod register with Eureka and fetch the registry, so multiple replicas can peer-replicate; qa falls back to pointing at itself if no peer list is supplied, while prod has no such fallback — EUREKA_PEER_URLS is mandatory.</w:t>
      </w:r>
    </w:p>
    <w:p>
      <w:pPr>
        <w:pStyle w:val="Heading1"/>
        <w:spacing w:after="160" w:before="320"/>
      </w:pPr>
      <w:r>
        <w:t xml:space="preserve">3. Project Structure</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clickkart-eureka-server/</w:t>
      </w:r>
      <w:r>
        <w:rPr>
          <w:rFonts w:ascii="Consolas" w:cs="Consolas" w:eastAsia="Consolas" w:hAnsi="Consolas"/>
          <w:sz w:val="18"/>
          <w:szCs w:val="18"/>
        </w:rPr>
        <w:br/>
        <w:t xml:space="preserve">├─ pom.xml</w:t>
      </w:r>
      <w:r>
        <w:rPr>
          <w:rFonts w:ascii="Consolas" w:cs="Consolas" w:eastAsia="Consolas" w:hAnsi="Consolas"/>
          <w:sz w:val="18"/>
          <w:szCs w:val="18"/>
        </w:rPr>
        <w:br/>
        <w:t xml:space="preserve">├─ Dockerfile</w:t>
      </w:r>
      <w:r>
        <w:rPr>
          <w:rFonts w:ascii="Consolas" w:cs="Consolas" w:eastAsia="Consolas" w:hAnsi="Consolas"/>
          <w:sz w:val="18"/>
          <w:szCs w:val="18"/>
        </w:rPr>
        <w:br/>
        <w:t xml:space="preserve">├─ docker/</w:t>
      </w:r>
      <w:r>
        <w:rPr>
          <w:rFonts w:ascii="Consolas" w:cs="Consolas" w:eastAsia="Consolas" w:hAnsi="Consolas"/>
          <w:sz w:val="18"/>
          <w:szCs w:val="18"/>
        </w:rPr>
        <w:br/>
        <w:t xml:space="preserve">│  ├─ docker-compose.yml</w:t>
      </w:r>
      <w:r>
        <w:rPr>
          <w:rFonts w:ascii="Consolas" w:cs="Consolas" w:eastAsia="Consolas" w:hAnsi="Consolas"/>
          <w:sz w:val="18"/>
          <w:szCs w:val="18"/>
        </w:rPr>
        <w:br/>
        <w:t xml:space="preserve">│  ├─ docker-compose.dev.yml</w:t>
      </w:r>
      <w:r>
        <w:rPr>
          <w:rFonts w:ascii="Consolas" w:cs="Consolas" w:eastAsia="Consolas" w:hAnsi="Consolas"/>
          <w:sz w:val="18"/>
          <w:szCs w:val="18"/>
        </w:rPr>
        <w:br/>
        <w:t xml:space="preserve">│  ├─ docker-compose.test.yml</w:t>
      </w:r>
      <w:r>
        <w:rPr>
          <w:rFonts w:ascii="Consolas" w:cs="Consolas" w:eastAsia="Consolas" w:hAnsi="Consolas"/>
          <w:sz w:val="18"/>
          <w:szCs w:val="18"/>
        </w:rPr>
        <w:br/>
        <w:t xml:space="preserve">│  ├─ docker-compose.qa.yml</w:t>
      </w:r>
      <w:r>
        <w:rPr>
          <w:rFonts w:ascii="Consolas" w:cs="Consolas" w:eastAsia="Consolas" w:hAnsi="Consolas"/>
          <w:sz w:val="18"/>
          <w:szCs w:val="18"/>
        </w:rPr>
        <w:br/>
        <w:t xml:space="preserve">│  └─ docker-compose.prod.yml</w:t>
      </w:r>
      <w:r>
        <w:rPr>
          <w:rFonts w:ascii="Consolas" w:cs="Consolas" w:eastAsia="Consolas" w:hAnsi="Consolas"/>
          <w:sz w:val="18"/>
          <w:szCs w:val="18"/>
        </w:rPr>
        <w:br/>
        <w:t xml:space="preserve">└─ src/</w:t>
      </w:r>
      <w:r>
        <w:rPr>
          <w:rFonts w:ascii="Consolas" w:cs="Consolas" w:eastAsia="Consolas" w:hAnsi="Consolas"/>
          <w:sz w:val="18"/>
          <w:szCs w:val="18"/>
        </w:rPr>
        <w:br/>
        <w:t xml:space="preserve">   ├─ main/java/com/clickkart/eureka/</w:t>
      </w:r>
      <w:r>
        <w:rPr>
          <w:rFonts w:ascii="Consolas" w:cs="Consolas" w:eastAsia="Consolas" w:hAnsi="Consolas"/>
          <w:sz w:val="18"/>
          <w:szCs w:val="18"/>
        </w:rPr>
        <w:br/>
        <w:t xml:space="preserve">   │  ├─ EurekaServerApplication.java</w:t>
      </w:r>
      <w:r>
        <w:rPr>
          <w:rFonts w:ascii="Consolas" w:cs="Consolas" w:eastAsia="Consolas" w:hAnsi="Consolas"/>
          <w:sz w:val="18"/>
          <w:szCs w:val="18"/>
        </w:rPr>
        <w:br/>
        <w:t xml:space="preserve">   │  └─ config/</w:t>
      </w:r>
      <w:r>
        <w:rPr>
          <w:rFonts w:ascii="Consolas" w:cs="Consolas" w:eastAsia="Consolas" w:hAnsi="Consolas"/>
          <w:sz w:val="18"/>
          <w:szCs w:val="18"/>
        </w:rPr>
        <w:br/>
        <w:t xml:space="preserve">   │     ├─ SecurityConfig.java</w:t>
      </w:r>
      <w:r>
        <w:rPr>
          <w:rFonts w:ascii="Consolas" w:cs="Consolas" w:eastAsia="Consolas" w:hAnsi="Consolas"/>
          <w:sz w:val="18"/>
          <w:szCs w:val="18"/>
        </w:rPr>
        <w:br/>
        <w:t xml:space="preserve">   │     └─ RequiredProdSecretsConfig.java</w:t>
      </w:r>
      <w:r>
        <w:rPr>
          <w:rFonts w:ascii="Consolas" w:cs="Consolas" w:eastAsia="Consolas" w:hAnsi="Consolas"/>
          <w:sz w:val="18"/>
          <w:szCs w:val="18"/>
        </w:rPr>
        <w:br/>
        <w:t xml:space="preserve">   ├─ main/resources/</w:t>
      </w:r>
      <w:r>
        <w:rPr>
          <w:rFonts w:ascii="Consolas" w:cs="Consolas" w:eastAsia="Consolas" w:hAnsi="Consolas"/>
          <w:sz w:val="18"/>
          <w:szCs w:val="18"/>
        </w:rPr>
        <w:br/>
        <w:t xml:space="preserve">   │  ├─ application.properties</w:t>
      </w:r>
      <w:r>
        <w:rPr>
          <w:rFonts w:ascii="Consolas" w:cs="Consolas" w:eastAsia="Consolas" w:hAnsi="Consolas"/>
          <w:sz w:val="18"/>
          <w:szCs w:val="18"/>
        </w:rPr>
        <w:br/>
        <w:t xml:space="preserve">   │  ├─ application-dev.properties</w:t>
      </w:r>
      <w:r>
        <w:rPr>
          <w:rFonts w:ascii="Consolas" w:cs="Consolas" w:eastAsia="Consolas" w:hAnsi="Consolas"/>
          <w:sz w:val="18"/>
          <w:szCs w:val="18"/>
        </w:rPr>
        <w:br/>
        <w:t xml:space="preserve">   │  ├─ application-test.properties</w:t>
      </w:r>
      <w:r>
        <w:rPr>
          <w:rFonts w:ascii="Consolas" w:cs="Consolas" w:eastAsia="Consolas" w:hAnsi="Consolas"/>
          <w:sz w:val="18"/>
          <w:szCs w:val="18"/>
        </w:rPr>
        <w:br/>
        <w:t xml:space="preserve">   │  ├─ application-qa.properties</w:t>
      </w:r>
      <w:r>
        <w:rPr>
          <w:rFonts w:ascii="Consolas" w:cs="Consolas" w:eastAsia="Consolas" w:hAnsi="Consolas"/>
          <w:sz w:val="18"/>
          <w:szCs w:val="18"/>
        </w:rPr>
        <w:br/>
        <w:t xml:space="preserve">   │  └─ application-prod.properties</w:t>
      </w:r>
      <w:r>
        <w:rPr>
          <w:rFonts w:ascii="Consolas" w:cs="Consolas" w:eastAsia="Consolas" w:hAnsi="Consolas"/>
          <w:sz w:val="18"/>
          <w:szCs w:val="18"/>
        </w:rPr>
        <w:br/>
        <w:t xml:space="preserve">   └─ test/java/com/clickkart/eureka/</w:t>
      </w:r>
      <w:r>
        <w:rPr>
          <w:rFonts w:ascii="Consolas" w:cs="Consolas" w:eastAsia="Consolas" w:hAnsi="Consolas"/>
          <w:sz w:val="18"/>
          <w:szCs w:val="18"/>
        </w:rPr>
        <w:br/>
        <w:t xml:space="preserve">      └─ EurekaServerApplicationTests.java</w:t>
      </w:r>
    </w:p>
    <w:p>
      <w:pPr>
        <w:pStyle w:val="Heading1"/>
        <w:spacing w:after="160" w:before="320"/>
      </w:pPr>
      <w:r>
        <w:t xml:space="preserve">4. Dependencies (pom.xml)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0"/>
        <w:gridCol w:w="3800"/>
      </w:tblGrid>
      <w:tr>
        <w:trPr>
          <w:tblHeader/>
        </w:trPr>
        <w:tc>
          <w:tcPr>
            <w:tcW w:type="dxa" w:w="62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Artifact</w:t>
            </w:r>
          </w:p>
        </w:tc>
        <w:tc>
          <w:tcPr>
            <w:tcW w:type="dxa" w:w="38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62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spring-cloud-starter-netflix-eureka-server</w:t>
            </w:r>
          </w:p>
        </w:tc>
        <w:tc>
          <w:tcPr>
            <w:tcW w:type="dxa" w:w="38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Core Eureka registry + dashboard</w:t>
            </w:r>
          </w:p>
        </w:tc>
      </w:tr>
      <w:tr>
        <w:tc>
          <w:tcPr>
            <w:tcW w:type="dxa" w:w="62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spring-boot-starter-security</w:t>
            </w:r>
          </w:p>
        </w:tc>
        <w:tc>
          <w:tcPr>
            <w:tcW w:type="dxa" w:w="38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HTTP Basic auth for dashboard / registration API</w:t>
            </w:r>
          </w:p>
        </w:tc>
      </w:tr>
      <w:tr>
        <w:tc>
          <w:tcPr>
            <w:tcW w:type="dxa" w:w="62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spring-boot-starter-actuator</w:t>
            </w:r>
          </w:p>
        </w:tc>
        <w:tc>
          <w:tcPr>
            <w:tcW w:type="dxa" w:w="38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Health, info, container probes</w:t>
            </w:r>
          </w:p>
        </w:tc>
      </w:tr>
      <w:tr>
        <w:tc>
          <w:tcPr>
            <w:tcW w:type="dxa" w:w="62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spring-boot-starter-test</w:t>
            </w:r>
          </w:p>
        </w:tc>
        <w:tc>
          <w:tcPr>
            <w:tcW w:type="dxa" w:w="38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JUnit 5, Mockito, Spring test context</w:t>
            </w:r>
          </w:p>
        </w:tc>
      </w:tr>
      <w:tr>
        <w:tc>
          <w:tcPr>
            <w:tcW w:type="dxa" w:w="62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spring-boot-starter-webmvc-test</w:t>
            </w:r>
          </w:p>
        </w:tc>
        <w:tc>
          <w:tcPr>
            <w:tcW w:type="dxa" w:w="38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MockMvc support (split out of starter-test in Boot 4)</w:t>
            </w:r>
          </w:p>
        </w:tc>
      </w:tr>
      <w:tr>
        <w:tc>
          <w:tcPr>
            <w:tcW w:type="dxa" w:w="62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spring-security-test</w:t>
            </w:r>
          </w:p>
        </w:tc>
        <w:tc>
          <w:tcPr>
            <w:tcW w:type="dxa" w:w="38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Basic-auth test request post-processors</w:t>
            </w:r>
          </w:p>
        </w:tc>
      </w:tr>
    </w:tbl>
    <w:p>
      <w:pPr>
        <w:spacing w:after="200"/>
      </w:pPr>
    </w:p>
    <w:p>
      <w:pPr>
        <w:pStyle w:val="Heading1"/>
        <w:spacing w:after="160" w:before="320"/>
      </w:pPr>
      <w:r>
        <w:t xml:space="preserve">5. Environment Profiles</w:t>
      </w:r>
    </w:p>
    <w:p>
      <w:pPr>
        <w:spacing w:after="120"/>
      </w:pPr>
      <w:r>
        <w:rPr>
          <w:rFonts w:ascii="Calibri" w:cs="Calibri" w:eastAsia="Calibri" w:hAnsi="Calibri"/>
          <w:sz w:val="22"/>
          <w:szCs w:val="22"/>
        </w:rPr>
        <w:t xml:space="preserve">All four profiles live in src/main/resources as .properties files. Key differences: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gridCol w:w="1700"/>
      </w:tblGrid>
      <w:tr>
        <w:trPr>
          <w:tblHeader/>
        </w:trPr>
        <w:tc>
          <w:tcPr>
            <w:tcW w:type="dxa" w:w="26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Setting</w:t>
            </w:r>
          </w:p>
        </w:tc>
        <w:tc>
          <w:tcPr>
            <w:tcW w:type="dxa" w:w="19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dev</w:t>
            </w:r>
          </w:p>
        </w:tc>
        <w:tc>
          <w:tcPr>
            <w:tcW w:type="dxa" w:w="19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test</w:t>
            </w:r>
          </w:p>
        </w:tc>
        <w:tc>
          <w:tcPr>
            <w:tcW w:type="dxa" w:w="19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qa</w:t>
            </w:r>
          </w:p>
        </w:tc>
        <w:tc>
          <w:tcPr>
            <w:tcW w:type="dxa" w:w="17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prod</w:t>
            </w:r>
          </w:p>
        </w:tc>
      </w:tr>
      <w:tr>
        <w:tc>
          <w:tcPr>
            <w:tcW w:type="dxa" w:w="26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Dashboard credentials</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admin / dev-only-secret-change-me (flagged default)</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Required env var, no default</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Required env var, no default</w:t>
            </w:r>
          </w:p>
        </w:tc>
        <w:tc>
          <w:tcPr>
            <w:tcW w:type="dxa" w:w="17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Required env var, no default</w:t>
            </w:r>
          </w:p>
        </w:tc>
      </w:tr>
      <w:tr>
        <w:tc>
          <w:tcPr>
            <w:tcW w:type="dxa" w:w="26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register-with-eureka / fetch-registry</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false / false</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false / false</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true / true</w:t>
            </w:r>
          </w:p>
        </w:tc>
        <w:tc>
          <w:tcPr>
            <w:tcW w:type="dxa" w:w="17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true / true</w:t>
            </w:r>
          </w:p>
        </w:tc>
      </w:tr>
      <w:tr>
        <w:tc>
          <w:tcPr>
            <w:tcW w:type="dxa" w:w="26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Self-preservation</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disabled</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disabled</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enabled</w:t>
            </w:r>
          </w:p>
        </w:tc>
        <w:tc>
          <w:tcPr>
            <w:tcW w:type="dxa" w:w="17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enabled</w:t>
            </w:r>
          </w:p>
        </w:tc>
      </w:tr>
      <w:tr>
        <w:tc>
          <w:tcPr>
            <w:tcW w:type="dxa" w:w="26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EUREKA_PEER_URLS</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n/a</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n/a</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optional – falls back to self</w:t>
            </w:r>
          </w:p>
        </w:tc>
        <w:tc>
          <w:tcPr>
            <w:tcW w:type="dxa" w:w="17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required – fails fast if unset</w:t>
            </w:r>
          </w:p>
        </w:tc>
      </w:tr>
      <w:tr>
        <w:tc>
          <w:tcPr>
            <w:tcW w:type="dxa" w:w="26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Logging</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DEBUG (com.clickkart)</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INFO + correlation-aware pattern</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INFO, Eureka client WARN</w:t>
            </w:r>
          </w:p>
        </w:tc>
        <w:tc>
          <w:tcPr>
            <w:tcW w:type="dxa" w:w="17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WARN, structured ECS/JSON console</w:t>
            </w:r>
          </w:p>
        </w:tc>
      </w:tr>
    </w:tbl>
    <w:p>
      <w:pPr>
        <w:spacing w:after="200"/>
      </w:pPr>
    </w:p>
    <w:p>
      <w:pPr>
        <w:spacing w:after="120"/>
      </w:pPr>
      <w:r>
        <w:rPr>
          <w:rFonts w:ascii="Calibri" w:cs="Calibri" w:eastAsia="Calibri" w:hAnsi="Calibri"/>
          <w:sz w:val="22"/>
          <w:szCs w:val="22"/>
        </w:rPr>
        <w:t xml:space="preserve">Secrets follow Rule 8/15 of the ClickKart build standard: dev has a clearly-flagged fake default; test, qa, and prod have no default and fail the application context at startup if unset.</w:t>
      </w:r>
    </w:p>
    <w:p>
      <w:pPr>
        <w:pStyle w:val="Heading1"/>
        <w:spacing w:after="160" w:before="320"/>
      </w:pPr>
      <w:r>
        <w:t xml:space="preserve">6. Security Configuration</w:t>
      </w:r>
    </w:p>
    <w:p>
      <w:pPr>
        <w:spacing w:after="120"/>
      </w:pPr>
      <w:r>
        <w:rPr>
          <w:rFonts w:ascii="Calibri" w:cs="Calibri" w:eastAsia="Calibri" w:hAnsi="Calibri"/>
          <w:sz w:val="22"/>
          <w:szCs w:val="22"/>
        </w:rPr>
        <w:t xml:space="preserve">SecurityConfig.java (excerpt):</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8"/>
          <w:szCs w:val="18"/>
        </w:rPr>
        <w:t xml:space="preserve">@Bean</w:t>
      </w:r>
      <w:r>
        <w:rPr>
          <w:rFonts w:ascii="Consolas" w:cs="Consolas" w:eastAsia="Consolas" w:hAnsi="Consolas"/>
          <w:sz w:val="18"/>
          <w:szCs w:val="18"/>
        </w:rPr>
        <w:br/>
        <w:t xml:space="preserve">public SecurityFilterChain filterChain(HttpSecurity http) throws Exception {</w:t>
      </w:r>
      <w:r>
        <w:rPr>
          <w:rFonts w:ascii="Consolas" w:cs="Consolas" w:eastAsia="Consolas" w:hAnsi="Consolas"/>
          <w:sz w:val="18"/>
          <w:szCs w:val="18"/>
        </w:rPr>
        <w:br/>
        <w:t xml:space="preserve">    http</w:t>
      </w:r>
      <w:r>
        <w:rPr>
          <w:rFonts w:ascii="Consolas" w:cs="Consolas" w:eastAsia="Consolas" w:hAnsi="Consolas"/>
          <w:sz w:val="18"/>
          <w:szCs w:val="18"/>
        </w:rPr>
        <w:br/>
        <w:t xml:space="preserve">        .csrf(csrf -&gt; csrf.disable())</w:t>
      </w:r>
      <w:r>
        <w:rPr>
          <w:rFonts w:ascii="Consolas" w:cs="Consolas" w:eastAsia="Consolas" w:hAnsi="Consolas"/>
          <w:sz w:val="18"/>
          <w:szCs w:val="18"/>
        </w:rPr>
        <w:br/>
        <w:t xml:space="preserve">        .authorizeHttpRequests(auth -&gt; auth</w:t>
      </w:r>
      <w:r>
        <w:rPr>
          <w:rFonts w:ascii="Consolas" w:cs="Consolas" w:eastAsia="Consolas" w:hAnsi="Consolas"/>
          <w:sz w:val="18"/>
          <w:szCs w:val="18"/>
        </w:rPr>
        <w:br/>
        <w:t xml:space="preserve">            .requestMatchers("/actuator/health", "/actuator/health/**").permitAll()</w:t>
      </w:r>
      <w:r>
        <w:rPr>
          <w:rFonts w:ascii="Consolas" w:cs="Consolas" w:eastAsia="Consolas" w:hAnsi="Consolas"/>
          <w:sz w:val="18"/>
          <w:szCs w:val="18"/>
        </w:rPr>
        <w:br/>
        <w:t xml:space="preserve">            .anyRequest().authenticated())</w:t>
      </w:r>
      <w:r>
        <w:rPr>
          <w:rFonts w:ascii="Consolas" w:cs="Consolas" w:eastAsia="Consolas" w:hAnsi="Consolas"/>
          <w:sz w:val="18"/>
          <w:szCs w:val="18"/>
        </w:rPr>
        <w:br/>
        <w:t xml:space="preserve">        .httpBasic(Customizer.withDefaults());</w:t>
      </w:r>
      <w:r>
        <w:rPr>
          <w:rFonts w:ascii="Consolas" w:cs="Consolas" w:eastAsia="Consolas" w:hAnsi="Consolas"/>
          <w:sz w:val="18"/>
          <w:szCs w:val="18"/>
        </w:rPr>
        <w:br/>
        <w:t xml:space="preserve">    return http.build();</w:t>
      </w:r>
      <w:r>
        <w:rPr>
          <w:rFonts w:ascii="Consolas" w:cs="Consolas" w:eastAsia="Consolas" w:hAnsi="Consolas"/>
          <w:sz w:val="18"/>
          <w:szCs w:val="18"/>
        </w:rPr>
        <w:br/>
        <w:t xml:space="preserve">}</w:t>
      </w:r>
    </w:p>
    <w:p>
      <w:pPr>
        <w:spacing w:after="120"/>
      </w:pPr>
      <w:r>
        <w:rPr>
          <w:rFonts w:ascii="Calibri" w:cs="Calibri" w:eastAsia="Calibri" w:hAnsi="Calibri"/>
          <w:sz w:val="22"/>
          <w:szCs w:val="22"/>
        </w:rPr>
        <w:t xml:space="preserve">Downstream services will authenticate against the registry via:</w:t>
      </w:r>
    </w:p>
    <w:p>
      <w:pPr>
        <w:spacing w:after="60"/>
      </w:pPr>
      <w:r>
        <w:rPr>
          <w:rFonts w:ascii="Consolas" w:cs="Consolas" w:eastAsia="Consolas" w:hAnsi="Consolas"/>
          <w:sz w:val="20"/>
          <w:szCs w:val="20"/>
        </w:rPr>
        <w:t xml:space="preserve">eureka.client.service-url.defaultZone=http://&lt;user&gt;:&lt;pass&gt;@eureka-server:8761/eureka/</w:t>
      </w:r>
    </w:p>
    <w:p>
      <w:pPr>
        <w:pStyle w:val="Heading1"/>
        <w:spacing w:after="160" w:before="320"/>
      </w:pPr>
      <w:r>
        <w:t xml:space="preserve">7. Decision Log</w:t>
      </w:r>
    </w:p>
    <w:p>
      <w:pPr>
        <w:spacing w:after="120"/>
      </w:pPr>
      <w:r>
        <w:rPr>
          <w:rFonts w:ascii="Calibri" w:cs="Calibri" w:eastAsia="Calibri" w:hAnsi="Calibri"/>
          <w:sz w:val="22"/>
          <w:szCs w:val="22"/>
        </w:rPr>
        <w:t xml:space="preserve">Notable decisions and issues resolved during the build:</w:t>
      </w:r>
    </w:p>
    <w:p>
      <w:pPr>
        <w:pStyle w:val="ListParagraph"/>
        <w:numPr>
          <w:ilvl w:val="0"/>
          <w:numId w:val="2"/>
        </w:numPr>
        <w:spacing w:after="60"/>
      </w:pPr>
      <w:r>
        <w:rPr>
          <w:rFonts w:ascii="Calibri" w:cs="Calibri" w:eastAsia="Calibri" w:hAnsi="Calibri"/>
          <w:sz w:val="22"/>
          <w:szCs w:val="22"/>
        </w:rPr>
        <w:t xml:space="preserve">Kept Eureka's configuration standalone rather than Config-Server-backed, to avoid a circular bootstrap dependency — confirmed with the user before implementing.</w:t>
      </w:r>
    </w:p>
    <w:p>
      <w:pPr>
        <w:pStyle w:val="ListParagraph"/>
        <w:numPr>
          <w:ilvl w:val="0"/>
          <w:numId w:val="2"/>
        </w:numPr>
        <w:spacing w:after="60"/>
      </w:pPr>
      <w:r>
        <w:rPr>
          <w:rFonts w:ascii="Calibri" w:cs="Calibri" w:eastAsia="Calibri" w:hAnsi="Calibri"/>
          <w:sz w:val="22"/>
          <w:szCs w:val="22"/>
        </w:rPr>
        <w:t xml:space="preserve">Converted all profile config from YAML to .properties format at the user's request.</w:t>
      </w:r>
    </w:p>
    <w:p>
      <w:pPr>
        <w:pStyle w:val="ListParagraph"/>
        <w:numPr>
          <w:ilvl w:val="0"/>
          <w:numId w:val="2"/>
        </w:numPr>
        <w:spacing w:after="60"/>
      </w:pPr>
      <w:r>
        <w:rPr>
          <w:rFonts w:ascii="Calibri" w:cs="Calibri" w:eastAsia="Calibri" w:hAnsi="Calibri"/>
          <w:sz w:val="22"/>
          <w:szCs w:val="22"/>
        </w:rPr>
        <w:t xml:space="preserve">Fixed a Security bean regression: the filterChain() bean had been changed to return HttpSecurity instead of a built SecurityFilterChain, which caused Spring Boot's default security auto-configuration to collide with the custom config ("expected single matching bean but found 2"). Restored the correct return type and http.build() call.</w:t>
      </w:r>
    </w:p>
    <w:p>
      <w:pPr>
        <w:pStyle w:val="ListParagraph"/>
        <w:numPr>
          <w:ilvl w:val="0"/>
          <w:numId w:val="2"/>
        </w:numPr>
        <w:spacing w:after="60"/>
      </w:pPr>
      <w:r>
        <w:rPr>
          <w:rFonts w:ascii="Calibri" w:cs="Calibri" w:eastAsia="Calibri" w:hAnsi="Calibri"/>
          <w:sz w:val="22"/>
          <w:szCs w:val="22"/>
        </w:rPr>
        <w:t xml:space="preserve">Fixed a Spring Boot 4 test-dependency break: @AutoConfigureMockMvc moved out of spring-boot-starter-test into a new spring-boot-starter-webmvc-test artifact and a new package (org.springframework.boot.webmvc.test.autoconfigure). Added the dependency and updated the import.</w:t>
      </w:r>
    </w:p>
    <w:p>
      <w:pPr>
        <w:pStyle w:val="ListParagraph"/>
        <w:numPr>
          <w:ilvl w:val="0"/>
          <w:numId w:val="2"/>
        </w:numPr>
        <w:spacing w:after="60"/>
      </w:pPr>
      <w:r>
        <w:rPr>
          <w:rFonts w:ascii="Calibri" w:cs="Calibri" w:eastAsia="Calibri" w:hAnsi="Calibri"/>
          <w:sz w:val="22"/>
          <w:szCs w:val="22"/>
        </w:rPr>
        <w:t xml:space="preserve">Found and fixed a silent fail-fast gap: eureka.client.service-url.defaultZone binds into a Map&lt;String,String&gt;, and Spring's relaxed Binder does not validate that path for unresolved placeholders the way it validates scalar properties. An unset EUREKA_PEER_URLS in prod was booting "successfully" with a literal, unparseable "${EUREKA_PEER_URLS}" peer URL instead of failing fast. Added RequiredProdSecretsConfig, a @Profile("prod") bean that forces eager @Value resolution of EUREKA_PEER_URLS and fails startup if it is blank.</w:t>
      </w:r>
    </w:p>
    <w:p>
      <w:pPr>
        <w:pStyle w:val="Heading1"/>
        <w:spacing w:after="160" w:before="320"/>
      </w:pPr>
      <w:r>
        <w:t xml:space="preserve">8. Containerization</w:t>
      </w:r>
    </w:p>
    <w:p>
      <w:pPr>
        <w:spacing w:after="120"/>
      </w:pPr>
      <w:r>
        <w:rPr>
          <w:rFonts w:ascii="Calibri" w:cs="Calibri" w:eastAsia="Calibri" w:hAnsi="Calibri"/>
          <w:sz w:val="22"/>
          <w:szCs w:val="22"/>
        </w:rPr>
        <w:t xml:space="preserve">Multi-stage Dockerfile builds with Maven 3.9 / Temurin 21, then runs on a slim Temurin 21 JRE as a non-root user, with a curl-based HEALTHCHECK against /actuator/health. One base docker-compose.yml plus four per-environment override files (docker-compose.dev/test/qa/prod.yml) supply SPRING_PROFILES_ACTIVE and the required secrets per environment — this is the pattern every later ClickKart service will reuse.</w:t>
      </w:r>
    </w:p>
    <w:p>
      <w:pPr>
        <w:pStyle w:val="Heading1"/>
        <w:spacing w:after="160" w:before="320"/>
      </w:pPr>
      <w:r>
        <w:t xml:space="preserve">9. Verification Evidence</w:t>
      </w:r>
    </w:p>
    <w:p>
      <w:pPr>
        <w:spacing w:after="120"/>
      </w:pPr>
      <w:r>
        <w:rPr>
          <w:rFonts w:ascii="Calibri" w:cs="Calibri" w:eastAsia="Calibri" w:hAnsi="Calibri"/>
          <w:sz w:val="22"/>
          <w:szCs w:val="22"/>
        </w:rPr>
        <w:t xml:space="preserve">All four profiles were built and run as real containers (not just config review) to confirm correct behavior, including the fail-fast guarantees: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2600"/>
        <w:gridCol w:w="1500"/>
        <w:gridCol w:w="1900"/>
        <w:gridCol w:w="1500"/>
      </w:tblGrid>
      <w:tr>
        <w:trPr>
          <w:tblHeader/>
        </w:trPr>
        <w:tc>
          <w:tcPr>
            <w:tcW w:type="dxa" w:w="12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Profile</w:t>
            </w:r>
          </w:p>
        </w:tc>
        <w:tc>
          <w:tcPr>
            <w:tcW w:type="dxa" w:w="19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Boots w/ required env</w:t>
            </w:r>
          </w:p>
        </w:tc>
        <w:tc>
          <w:tcPr>
            <w:tcW w:type="dxa" w:w="26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Fails fast w/o required env</w:t>
            </w:r>
          </w:p>
        </w:tc>
        <w:tc>
          <w:tcPr>
            <w:tcW w:type="dxa" w:w="15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Health (no auth)</w:t>
            </w:r>
          </w:p>
        </w:tc>
        <w:tc>
          <w:tcPr>
            <w:tcW w:type="dxa" w:w="19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/eureka/apps unauthenticated</w:t>
            </w:r>
          </w:p>
        </w:tc>
        <w:tc>
          <w:tcPr>
            <w:tcW w:type="dxa" w:w="15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/eureka/apps authenticated</w:t>
            </w:r>
          </w:p>
        </w:tc>
      </w:tr>
      <w:tr>
        <w:tc>
          <w:tcPr>
            <w:tcW w:type="dxa" w:w="1200"/>
            <w:shd w:fill="FFFFFF" w:val="clear"/>
            <w:tcMar>
              <w:top w:type="dxa" w:w="80"/>
              <w:left w:type="dxa" w:w="120"/>
              <w:bottom w:type="dxa" w:w="80"/>
              <w:right w:type="dxa" w:w="120"/>
            </w:tcMar>
          </w:tcPr>
          <w:p>
            <w:r>
              <w:rPr>
                <w:rFonts w:ascii="Calibri" w:cs="Calibri" w:eastAsia="Calibri" w:hAnsi="Calibri"/>
                <w:b/>
                <w:bCs/>
                <w:color w:val="000000"/>
                <w:sz w:val="20"/>
                <w:szCs w:val="20"/>
              </w:rPr>
              <w:t xml:space="preserve">dev</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1E7B34"/>
                <w:sz w:val="20"/>
                <w:szCs w:val="20"/>
              </w:rPr>
              <w:t xml:space="preserve">✓ (defaults)</w:t>
            </w:r>
          </w:p>
        </w:tc>
        <w:tc>
          <w:tcPr>
            <w:tcW w:type="dxa" w:w="26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n/a</w:t>
            </w:r>
          </w:p>
        </w:tc>
        <w:tc>
          <w:tcPr>
            <w:tcW w:type="dxa" w:w="1500"/>
            <w:shd w:fill="FFFFFF" w:val="clear"/>
            <w:tcMar>
              <w:top w:type="dxa" w:w="80"/>
              <w:left w:type="dxa" w:w="120"/>
              <w:bottom w:type="dxa" w:w="80"/>
              <w:right w:type="dxa" w:w="120"/>
            </w:tcMar>
          </w:tcPr>
          <w:p>
            <w:r>
              <w:rPr>
                <w:rFonts w:ascii="Calibri" w:cs="Calibri" w:eastAsia="Calibri" w:hAnsi="Calibri"/>
                <w:b w:val="false"/>
                <w:bCs w:val="false"/>
                <w:color w:val="1E7B34"/>
                <w:sz w:val="20"/>
                <w:szCs w:val="20"/>
              </w:rPr>
              <w:t xml:space="preserve">200</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1E7B34"/>
                <w:sz w:val="20"/>
                <w:szCs w:val="20"/>
              </w:rPr>
              <w:t xml:space="preserve">401</w:t>
            </w:r>
          </w:p>
        </w:tc>
        <w:tc>
          <w:tcPr>
            <w:tcW w:type="dxa" w:w="1500"/>
            <w:shd w:fill="FFFFFF" w:val="clear"/>
            <w:tcMar>
              <w:top w:type="dxa" w:w="80"/>
              <w:left w:type="dxa" w:w="120"/>
              <w:bottom w:type="dxa" w:w="80"/>
              <w:right w:type="dxa" w:w="120"/>
            </w:tcMar>
          </w:tcPr>
          <w:p>
            <w:r>
              <w:rPr>
                <w:rFonts w:ascii="Calibri" w:cs="Calibri" w:eastAsia="Calibri" w:hAnsi="Calibri"/>
                <w:b w:val="false"/>
                <w:bCs w:val="false"/>
                <w:color w:val="1E7B34"/>
                <w:sz w:val="20"/>
                <w:szCs w:val="20"/>
              </w:rPr>
              <w:t xml:space="preserve">200</w:t>
            </w:r>
          </w:p>
        </w:tc>
      </w:tr>
      <w:tr>
        <w:tc>
          <w:tcPr>
            <w:tcW w:type="dxa" w:w="1200"/>
            <w:shd w:fill="FFFFFF" w:val="clear"/>
            <w:tcMar>
              <w:top w:type="dxa" w:w="80"/>
              <w:left w:type="dxa" w:w="120"/>
              <w:bottom w:type="dxa" w:w="80"/>
              <w:right w:type="dxa" w:w="120"/>
            </w:tcMar>
          </w:tcPr>
          <w:p>
            <w:r>
              <w:rPr>
                <w:rFonts w:ascii="Calibri" w:cs="Calibri" w:eastAsia="Calibri" w:hAnsi="Calibri"/>
                <w:b/>
                <w:bCs/>
                <w:color w:val="000000"/>
                <w:sz w:val="20"/>
                <w:szCs w:val="20"/>
              </w:rPr>
              <w:t xml:space="preserve">test</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1E7B34"/>
                <w:sz w:val="20"/>
                <w:szCs w:val="20"/>
              </w:rPr>
              <w:t xml:space="preserve">✓</w:t>
            </w:r>
          </w:p>
        </w:tc>
        <w:tc>
          <w:tcPr>
            <w:tcW w:type="dxa" w:w="2600"/>
            <w:shd w:fill="FFFFFF" w:val="clear"/>
            <w:tcMar>
              <w:top w:type="dxa" w:w="80"/>
              <w:left w:type="dxa" w:w="120"/>
              <w:bottom w:type="dxa" w:w="80"/>
              <w:right w:type="dxa" w:w="120"/>
            </w:tcMar>
          </w:tcPr>
          <w:p>
            <w:r>
              <w:rPr>
                <w:rFonts w:ascii="Calibri" w:cs="Calibri" w:eastAsia="Calibri" w:hAnsi="Calibri"/>
                <w:b w:val="false"/>
                <w:bCs w:val="false"/>
                <w:color w:val="1E7B34"/>
                <w:sz w:val="20"/>
                <w:szCs w:val="20"/>
              </w:rPr>
              <w:t xml:space="preserve">✓ PlaceholderResolutionException</w:t>
            </w:r>
          </w:p>
        </w:tc>
        <w:tc>
          <w:tcPr>
            <w:tcW w:type="dxa" w:w="1500"/>
            <w:shd w:fill="FFFFFF" w:val="clear"/>
            <w:tcMar>
              <w:top w:type="dxa" w:w="80"/>
              <w:left w:type="dxa" w:w="120"/>
              <w:bottom w:type="dxa" w:w="80"/>
              <w:right w:type="dxa" w:w="120"/>
            </w:tcMar>
          </w:tcPr>
          <w:p>
            <w:r>
              <w:rPr>
                <w:rFonts w:ascii="Calibri" w:cs="Calibri" w:eastAsia="Calibri" w:hAnsi="Calibri"/>
                <w:b w:val="false"/>
                <w:bCs w:val="false"/>
                <w:color w:val="1E7B34"/>
                <w:sz w:val="20"/>
                <w:szCs w:val="20"/>
              </w:rPr>
              <w:t xml:space="preserve">200</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t>
            </w:r>
          </w:p>
        </w:tc>
        <w:tc>
          <w:tcPr>
            <w:tcW w:type="dxa" w:w="15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t>
            </w:r>
          </w:p>
        </w:tc>
      </w:tr>
      <w:tr>
        <w:tc>
          <w:tcPr>
            <w:tcW w:type="dxa" w:w="1200"/>
            <w:shd w:fill="FFFFFF" w:val="clear"/>
            <w:tcMar>
              <w:top w:type="dxa" w:w="80"/>
              <w:left w:type="dxa" w:w="120"/>
              <w:bottom w:type="dxa" w:w="80"/>
              <w:right w:type="dxa" w:w="120"/>
            </w:tcMar>
          </w:tcPr>
          <w:p>
            <w:r>
              <w:rPr>
                <w:rFonts w:ascii="Calibri" w:cs="Calibri" w:eastAsia="Calibri" w:hAnsi="Calibri"/>
                <w:b/>
                <w:bCs/>
                <w:color w:val="000000"/>
                <w:sz w:val="20"/>
                <w:szCs w:val="20"/>
              </w:rPr>
              <w:t xml:space="preserve">qa</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1E7B34"/>
                <w:sz w:val="20"/>
                <w:szCs w:val="20"/>
              </w:rPr>
              <w:t xml:space="preserve">✓ (peer self-fallback)</w:t>
            </w:r>
          </w:p>
        </w:tc>
        <w:tc>
          <w:tcPr>
            <w:tcW w:type="dxa" w:w="26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n/a (only dashboard creds required)</w:t>
            </w:r>
          </w:p>
        </w:tc>
        <w:tc>
          <w:tcPr>
            <w:tcW w:type="dxa" w:w="1500"/>
            <w:shd w:fill="FFFFFF" w:val="clear"/>
            <w:tcMar>
              <w:top w:type="dxa" w:w="80"/>
              <w:left w:type="dxa" w:w="120"/>
              <w:bottom w:type="dxa" w:w="80"/>
              <w:right w:type="dxa" w:w="120"/>
            </w:tcMar>
          </w:tcPr>
          <w:p>
            <w:r>
              <w:rPr>
                <w:rFonts w:ascii="Calibri" w:cs="Calibri" w:eastAsia="Calibri" w:hAnsi="Calibri"/>
                <w:b w:val="false"/>
                <w:bCs w:val="false"/>
                <w:color w:val="1E7B34"/>
                <w:sz w:val="20"/>
                <w:szCs w:val="20"/>
              </w:rPr>
              <w:t xml:space="preserve">200</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t>
            </w:r>
          </w:p>
        </w:tc>
        <w:tc>
          <w:tcPr>
            <w:tcW w:type="dxa" w:w="15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t>
            </w:r>
          </w:p>
        </w:tc>
      </w:tr>
      <w:tr>
        <w:tc>
          <w:tcPr>
            <w:tcW w:type="dxa" w:w="1200"/>
            <w:shd w:fill="FFFFFF" w:val="clear"/>
            <w:tcMar>
              <w:top w:type="dxa" w:w="80"/>
              <w:left w:type="dxa" w:w="120"/>
              <w:bottom w:type="dxa" w:w="80"/>
              <w:right w:type="dxa" w:w="120"/>
            </w:tcMar>
          </w:tcPr>
          <w:p>
            <w:r>
              <w:rPr>
                <w:rFonts w:ascii="Calibri" w:cs="Calibri" w:eastAsia="Calibri" w:hAnsi="Calibri"/>
                <w:b/>
                <w:bCs/>
                <w:color w:val="000000"/>
                <w:sz w:val="20"/>
                <w:szCs w:val="20"/>
              </w:rPr>
              <w:t xml:space="preserve">prod</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1E7B34"/>
                <w:sz w:val="20"/>
                <w:szCs w:val="20"/>
              </w:rPr>
              <w:t xml:space="preserve">✓</w:t>
            </w:r>
          </w:p>
        </w:tc>
        <w:tc>
          <w:tcPr>
            <w:tcW w:type="dxa" w:w="2600"/>
            <w:shd w:fill="FFFFFF" w:val="clear"/>
            <w:tcMar>
              <w:top w:type="dxa" w:w="80"/>
              <w:left w:type="dxa" w:w="120"/>
              <w:bottom w:type="dxa" w:w="80"/>
              <w:right w:type="dxa" w:w="120"/>
            </w:tcMar>
          </w:tcPr>
          <w:p>
            <w:r>
              <w:rPr>
                <w:rFonts w:ascii="Calibri" w:cs="Calibri" w:eastAsia="Calibri" w:hAnsi="Calibri"/>
                <w:b w:val="false"/>
                <w:bCs w:val="false"/>
                <w:color w:val="1E7B34"/>
                <w:sz w:val="20"/>
                <w:szCs w:val="20"/>
              </w:rPr>
              <w:t xml:space="preserve">✓ (after fix)</w:t>
            </w:r>
          </w:p>
        </w:tc>
        <w:tc>
          <w:tcPr>
            <w:tcW w:type="dxa" w:w="1500"/>
            <w:shd w:fill="FFFFFF" w:val="clear"/>
            <w:tcMar>
              <w:top w:type="dxa" w:w="80"/>
              <w:left w:type="dxa" w:w="120"/>
              <w:bottom w:type="dxa" w:w="80"/>
              <w:right w:type="dxa" w:w="120"/>
            </w:tcMar>
          </w:tcPr>
          <w:p>
            <w:r>
              <w:rPr>
                <w:rFonts w:ascii="Calibri" w:cs="Calibri" w:eastAsia="Calibri" w:hAnsi="Calibri"/>
                <w:b w:val="false"/>
                <w:bCs w:val="false"/>
                <w:color w:val="1E7B34"/>
                <w:sz w:val="20"/>
                <w:szCs w:val="20"/>
              </w:rPr>
              <w:t xml:space="preserve">200</w:t>
            </w:r>
          </w:p>
        </w:tc>
        <w:tc>
          <w:tcPr>
            <w:tcW w:type="dxa" w:w="19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t>
            </w:r>
          </w:p>
        </w:tc>
        <w:tc>
          <w:tcPr>
            <w:tcW w:type="dxa" w:w="1500"/>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t>
            </w:r>
          </w:p>
        </w:tc>
      </w:tr>
    </w:tbl>
    <w:p>
      <w:pPr>
        <w:spacing w:after="200"/>
      </w:pPr>
    </w:p>
    <w:p>
      <w:pPr>
        <w:pStyle w:val="Heading1"/>
        <w:spacing w:after="160" w:before="320"/>
      </w:pPr>
      <w:r>
        <w:t xml:space="preserve">10. Deployment-Ready Checklist</w:t>
      </w:r>
    </w:p>
    <w:p>
      <w:pPr>
        <w:pStyle w:val="ListParagraph"/>
        <w:numPr>
          <w:ilvl w:val="0"/>
          <w:numId w:val="2"/>
        </w:numPr>
        <w:spacing w:after="60"/>
      </w:pPr>
      <w:r>
        <w:rPr>
          <w:rFonts w:ascii="Calibri" w:cs="Calibri" w:eastAsia="Calibri" w:hAnsi="Calibri"/>
          <w:sz w:val="22"/>
          <w:szCs w:val="22"/>
        </w:rPr>
        <w:t xml:space="preserve">Builds and runs standalone (Eclipse + Maven)</w:t>
      </w:r>
    </w:p>
    <w:p>
      <w:pPr>
        <w:pStyle w:val="ListParagraph"/>
        <w:numPr>
          <w:ilvl w:val="0"/>
          <w:numId w:val="2"/>
        </w:numPr>
        <w:spacing w:after="60"/>
      </w:pPr>
      <w:r>
        <w:rPr>
          <w:rFonts w:ascii="Calibri" w:cs="Calibri" w:eastAsia="Calibri" w:hAnsi="Calibri"/>
          <w:sz w:val="22"/>
          <w:szCs w:val="22"/>
        </w:rPr>
        <w:t xml:space="preserve">No Config Server dependency — by design, per the locked build order</w:t>
      </w:r>
    </w:p>
    <w:p>
      <w:pPr>
        <w:pStyle w:val="ListParagraph"/>
        <w:numPr>
          <w:ilvl w:val="0"/>
          <w:numId w:val="2"/>
        </w:numPr>
        <w:spacing w:after="60"/>
      </w:pPr>
      <w:r>
        <w:rPr>
          <w:rFonts w:ascii="Calibri" w:cs="Calibri" w:eastAsia="Calibri" w:hAnsi="Calibri"/>
          <w:sz w:val="22"/>
          <w:szCs w:val="22"/>
        </w:rPr>
        <w:t xml:space="preserve">Resolves correctly under all 4 profiles — verified by booting each in a container</w:t>
      </w:r>
    </w:p>
    <w:p>
      <w:pPr>
        <w:pStyle w:val="ListParagraph"/>
        <w:numPr>
          <w:ilvl w:val="0"/>
          <w:numId w:val="2"/>
        </w:numPr>
        <w:spacing w:after="60"/>
      </w:pPr>
      <w:r>
        <w:rPr>
          <w:rFonts w:ascii="Calibri" w:cs="Calibri" w:eastAsia="Calibri" w:hAnsi="Calibri"/>
          <w:sz w:val="22"/>
          <w:szCs w:val="22"/>
        </w:rPr>
        <w:t xml:space="preserve">No database/migration (in-memory registry); zero stub/TODO methods</w:t>
      </w:r>
    </w:p>
    <w:p>
      <w:pPr>
        <w:pStyle w:val="ListParagraph"/>
        <w:numPr>
          <w:ilvl w:val="0"/>
          <w:numId w:val="2"/>
        </w:numPr>
        <w:spacing w:after="60"/>
      </w:pPr>
      <w:r>
        <w:rPr>
          <w:rFonts w:ascii="Calibri" w:cs="Calibri" w:eastAsia="Calibri" w:hAnsi="Calibri"/>
          <w:sz w:val="22"/>
          <w:szCs w:val="22"/>
        </w:rPr>
        <w:t xml:space="preserve">No Feign clients (nothing to depend on yet)</w:t>
      </w:r>
    </w:p>
    <w:p>
      <w:pPr>
        <w:pStyle w:val="ListParagraph"/>
        <w:numPr>
          <w:ilvl w:val="0"/>
          <w:numId w:val="2"/>
        </w:numPr>
        <w:spacing w:after="60"/>
      </w:pPr>
      <w:r>
        <w:rPr>
          <w:rFonts w:ascii="Calibri" w:cs="Calibri" w:eastAsia="Calibri" w:hAnsi="Calibri"/>
          <w:sz w:val="22"/>
          <w:szCs w:val="22"/>
        </w:rPr>
        <w:t xml:space="preserve">Docker image builds and runs; compose base + 4 environment overrides in place</w:t>
      </w:r>
    </w:p>
    <w:p>
      <w:pPr>
        <w:pStyle w:val="ListParagraph"/>
        <w:numPr>
          <w:ilvl w:val="0"/>
          <w:numId w:val="2"/>
        </w:numPr>
        <w:spacing w:after="60"/>
      </w:pPr>
      <w:r>
        <w:rPr>
          <w:rFonts w:ascii="Calibri" w:cs="Calibri" w:eastAsia="Calibri" w:hAnsi="Calibri"/>
          <w:sz w:val="22"/>
          <w:szCs w:val="22"/>
        </w:rPr>
        <w:t xml:space="preserve">dev has a flagged fake secret default; test/qa/prod fail fast when secrets are unset — confirmed by omitting them and observing the crash</w:t>
      </w:r>
    </w:p>
    <w:p>
      <w:pPr>
        <w:pStyle w:val="ListParagraph"/>
        <w:numPr>
          <w:ilvl w:val="0"/>
          <w:numId w:val="2"/>
        </w:numPr>
        <w:spacing w:after="60"/>
      </w:pPr>
      <w:r>
        <w:rPr>
          <w:rFonts w:ascii="Calibri" w:cs="Calibri" w:eastAsia="Calibri" w:hAnsi="Calibri"/>
          <w:sz w:val="22"/>
          <w:szCs w:val="22"/>
        </w:rPr>
        <w:t xml:space="preserve">Correlation-ID rule not applicable — Eureka has no business request path</w:t>
      </w:r>
    </w:p>
    <w:p>
      <w:pPr>
        <w:pStyle w:val="ListParagraph"/>
        <w:numPr>
          <w:ilvl w:val="0"/>
          <w:numId w:val="2"/>
        </w:numPr>
        <w:spacing w:after="60"/>
      </w:pPr>
      <w:r>
        <w:rPr>
          <w:rFonts w:ascii="Calibri" w:cs="Calibri" w:eastAsia="Calibri" w:hAnsi="Calibri"/>
          <w:sz w:val="22"/>
          <w:szCs w:val="22"/>
        </w:rPr>
        <w:t xml:space="preserve">Every file labeled with its exact path</w:t>
      </w:r>
    </w:p>
    <w:p>
      <w:pPr>
        <w:pStyle w:val="ListParagraph"/>
        <w:numPr>
          <w:ilvl w:val="0"/>
          <w:numId w:val="2"/>
        </w:numPr>
        <w:spacing w:after="60"/>
      </w:pPr>
      <w:r>
        <w:rPr>
          <w:rFonts w:ascii="Calibri" w:cs="Calibri" w:eastAsia="Calibri" w:hAnsi="Calibri"/>
          <w:sz w:val="22"/>
          <w:szCs w:val="22"/>
        </w:rPr>
        <w:t xml:space="preserve">Dashboard and registration API secured with HTTP Basic; only /actuator/health left open — confirmed via curl with and without credentials</w:t>
      </w:r>
    </w:p>
    <w:p>
      <w:pPr>
        <w:pStyle w:val="ListParagraph"/>
        <w:numPr>
          <w:ilvl w:val="0"/>
          <w:numId w:val="2"/>
        </w:numPr>
        <w:spacing w:after="60"/>
      </w:pPr>
      <w:r>
        <w:rPr>
          <w:rFonts w:ascii="Calibri" w:cs="Calibri" w:eastAsia="Calibri" w:hAnsi="Calibri"/>
          <w:sz w:val="22"/>
          <w:szCs w:val="22"/>
        </w:rPr>
        <w:t xml:space="preserve">No tutorial-grade shortcuts — a silent-failure gap in prod's fail-fast guarantee was found and fixed, not left in place</w:t>
      </w:r>
    </w:p>
    <w:p>
      <w:pPr>
        <w:spacing w:before="300"/>
      </w:pPr>
    </w:p>
    <w:p>
      <w:r>
        <w:rPr>
          <w:rFonts w:ascii="Calibri" w:cs="Calibri" w:eastAsia="Calibri" w:hAnsi="Calibri"/>
          <w:b/>
          <w:bCs/>
          <w:color w:val="1F4E79"/>
          <w:sz w:val="22"/>
          <w:szCs w:val="22"/>
        </w:rPr>
        <w:t xml:space="preserve">Status: Eureka confirmed deployable. Next: build the Config Server (item 2 of 14), pointing at clickkart-config-repository.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2026-08-01T09:23:32.985Z</dcterms:created>
  <dcterms:modified xsi:type="dcterms:W3CDTF">2026-08-01T09:23:32.985Z</dcterms:modified>
</cp:coreProperties>
</file>

<file path=docProps/custom.xml><?xml version="1.0" encoding="utf-8"?>
<Properties xmlns="http://schemas.openxmlformats.org/officeDocument/2006/custom-properties" xmlns:vt="http://schemas.openxmlformats.org/officeDocument/2006/docPropsVTypes"/>
</file>