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contract of employment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Statement of main terms and conditions 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Employer’s name: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Employee’s name: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commencement of employment: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place of work: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Job title: Personal assistant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Duties and responsibilities: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set out in the job description. The employer may require you to carry out other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reasonable duties as required.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Probationary period: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will be a probationary period of (*usually three months). At the end of this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period, the position will be reviewed and, if satisfactory, the continuation of your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employment will be confirmed. During the probationary period, either party can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terminate employment by giving one week’s notice.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Hours of work: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Your hours of work will be: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■ (Insert number of hours) weekday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■ (Insert number of hours) weekend hours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■ (Insert number of sleepovers if required) sleepover(s)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is a need for the employee to be flexible and these hours may be changed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required according to the employer’s needs. If hours need to be changed 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additional hours worked, the employer will give as much notice as possible.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