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df" ContentType="application/pdf"/>
  <Override PartName="/word/media/rId24.pdf" ContentType="application/pdf"/>
  <Override PartName="/word/media/rId28.pdf" ContentType="application/pdf"/>
  <Override PartName="/word/media/rId31.pdf" ContentType="application/pdf"/>
  <Override PartName="/word/media/rId34.pdf" ContentType="application/pdf"/>
  <Override PartName="/word/media/rId37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Wild</w:t>
      </w:r>
    </w:p>
    <w:p>
      <w:pPr>
        <w:pStyle w:val="Date"/>
      </w:pPr>
      <w:r>
        <w:t xml:space="preserve">2023-01-17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iCs/>
          <w:i/>
        </w:rPr>
        <w:t xml:space="preserve">(a)Incubation temperature and resource allocation consequences on thermal preference and critical thermal maximum</w:t>
      </w:r>
    </w:p>
    <w:p>
      <w:pPr>
        <w:pStyle w:val="BodyText"/>
      </w:pPr>
      <w:r>
        <w:t xml:space="preserve">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(n=40) were measured for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and critical thermal maximum,with (n=10) per resource treatment (yolk removal and control) by incubation temperature (23 &amp; 28°C). Mean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was 31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±SE0.47and ranged from 20.99–34.26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Mean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was 43.04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±SE0.23 and ranged from 38.6–45.2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C. We did not detect any effect of incubation temperature, yolk treatment, sex, or body mass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(Figure 1A|B; Table 1).</w:t>
      </w:r>
    </w:p>
    <w:p>
      <w:pPr>
        <w:pStyle w:val="BodyText"/>
      </w:pPr>
      <w:r>
        <w:rPr>
          <w:iCs/>
          <w:i/>
        </w:rPr>
        <w:t xml:space="preserve">(b) Meta-analysis of early thermal effects on thermal physiology in reptiles</w:t>
      </w:r>
    </w:p>
    <w:p>
      <w:pPr>
        <w:pStyle w:val="BodyText"/>
      </w:pPr>
      <w:r>
        <w:t xml:space="preserve">Across reptiles, developmental temperatures did not influence thermal traits (T_pref or CT_max), but heterogeneity was high (ARR =NA-, 95% CI:-0.28-0.37 ;</w:t>
      </w:r>
      <w:r>
        <w:t xml:space="preserve"> </w:t>
      </w:r>
      <m:oMath>
        <m:sSubSup>
          <m:e>
            <m:r>
              <m:t>I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99.53%, Prediction Interval:-1.23-1.32; Fig. 2A, n = 69 effects from 13 species). Species effects (</w:t>
      </w:r>
      <m:oMath>
        <m:sSubSup>
          <m:e>
            <m:r>
              <m:t>I</m:t>
            </m:r>
          </m:e>
          <m:sub>
            <m:r>
              <m:t>S</m:t>
            </m:r>
            <m:r>
              <m:t>p</m:t>
            </m:r>
            <m:r>
              <m:t>e</m:t>
            </m:r>
            <m:r>
              <m:t>c</m:t>
            </m:r>
            <m:r>
              <m:t>i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70.57%) drove most of the heterogeneity in ARR, but thermal traits were not influenced by life stage, climatic zone or major taxonomic group (i.e., snakes, turtles, lizards) (Fig. 2B|C). However, there was a significant increase in thermal traits in snakes, but this was driven by a single species (</w:t>
      </w:r>
      <w:r>
        <w:rPr>
          <w:iCs/>
          <w:i/>
        </w:rPr>
        <w:t xml:space="preserve">Nerodia sipdedon</w:t>
      </w:r>
      <w:r>
        <w:t xml:space="preserve">) (Fig 2D). We found no evidence for publication biases (</w:t>
      </w:r>
      <m:oMath>
        <m:r>
          <m:t>β</m:t>
        </m:r>
      </m:oMath>
      <w:r>
        <w:t xml:space="preserve">=-0.81, 95%CI=-1.92-0.3,</w:t>
      </w:r>
      <w:r>
        <w:t xml:space="preserve"> </w:t>
      </w:r>
      <w:r>
        <w:rPr>
          <w:iCs/>
          <w:i/>
        </w:rPr>
        <w:t xml:space="preserve">p=0.15</w:t>
      </w:r>
      <w:r>
        <w:t xml:space="preserve">; Fig S4; for further details see electronic supplementary materials).</w:t>
      </w:r>
    </w:p>
    <w:p>
      <w:r>
        <w:br w:type="page"/>
      </w:r>
    </w:p>
    <w:bookmarkEnd w:id="20"/>
    <w:bookmarkStart w:id="27" w:name="tables-figures"/>
    <w:p>
      <w:pPr>
        <w:pStyle w:val="Heading1"/>
      </w:pPr>
      <w:r>
        <w:t xml:space="preserve">Tables &amp; Figures</w:t>
      </w:r>
    </w:p>
    <w:p>
      <w:pPr>
        <w:pStyle w:val="FirstParagraph"/>
      </w:pPr>
      <w:r>
        <w:t xml:space="preserve">Table 1. Model outputs coefficients for testing wither sex, body mass, incubation temperature, resource, or the interaction between resource and temperature had an effect on 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or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in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. Est. value describes the estimated coefficient value and 95% CI describes the lower and upper bound of the 95% credible interval for each coefficient value. Intercept is the estimated mean of each thermal trait from the null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3774"/>
        <w:gridCol w:w="1266"/>
        <w:gridCol w:w="1254"/>
        <w:gridCol w:w="1328"/>
        <w:gridCol w:w="112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u-95%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18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618" w:hRule="auto"/>
        </w:trPr>
        body 7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43.27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44.37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6" w:hRule="auto"/>
        </w:trPr>
        body 8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7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15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Incubation Temperature*Resource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Final.Figures/Figure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Thermal indices across different incubation temperatures and resource treatments for hatchling</w:t>
      </w:r>
      <w:r>
        <w:t xml:space="preserve"> </w:t>
      </w:r>
      <w:r>
        <w:rPr>
          <w:iCs/>
          <w:i/>
        </w:rPr>
        <w:t xml:space="preserve">Lampropholis delicata</w:t>
      </w:r>
      <w:r>
        <w:t xml:space="preserve"> </w:t>
      </w:r>
      <w:r>
        <w:t xml:space="preserve">(n=10 per temperature and treatment). (A) Thermal preference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) in lizards incubated at 23 &amp; 28°C for each resource treatment (yolk ablation &amp; control). (B) Critical thermal maximum (CT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lizards incubated at 23 &amp; 28°C for each resource treatment. Bars above plots indicate pairwise comparisons of thermal indices between treatment temperature and the interaction between treatment temperature and resource treatment.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Final.Figures/Figure2.pd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Magnitude of the effect on developmental temperature on thermal indices (T</w:t>
      </w:r>
      <m:oMath>
        <m:sSub>
          <m:e>
            <m:r>
              <m:t>​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f</m:t>
            </m:r>
          </m:sub>
        </m:sSub>
      </m:oMath>
      <w:r>
        <w:t xml:space="preserve"> </w:t>
      </w:r>
      <w:r>
        <w:t xml:space="preserve">&amp; CT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 in reptiles (A) with respect to age class (B), climatic zone (C), and taxon (D). Mean meta-analytic estimates (circles) with their 95% confidence intervals (thicker error bars) and prediction intervals (thinner error bars). Individual data points (colored circles) from each study from meta-analysis are scaled by precision (inverse of standard error) and k is the number of effect sizes with number of species in brackets. ARR is acclimation response ratio. Graphs were constructed using the orchaRd package (Nakagawa et al., 2021; version 2.0).</w:t>
      </w:r>
    </w:p>
    <w:p>
      <w:r>
        <w:br w:type="page"/>
      </w:r>
    </w:p>
    <w:bookmarkEnd w:id="27"/>
    <w:bookmarkStart w:id="40" w:name="supplementary-tables"/>
    <w:p>
      <w:pPr>
        <w:pStyle w:val="Heading1"/>
      </w:pPr>
      <w:r>
        <w:t xml:space="preserve">Supplementary Tables</w:t>
      </w:r>
    </w:p>
    <w:p>
      <w:pPr>
        <w:pStyle w:val="FirstParagraph"/>
      </w:pPr>
      <w:r>
        <w:drawing>
          <wp:inline>
            <wp:extent cx="5943600" cy="334327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Final.Figures/FigureS1.pd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S1.Methods for collecting Tpref in Lampropholis delicata. Lizards were placed in Falcon tubes in a temperature-controlled bath. To obtain the most accurate Tb for skinks, temperature was monitored with a thermocouple probe secured within Falcon tube and an additional thermal couple that was placed in the bath. Water temperature was increased to 38◦C at a rate of 1◦C/min intervals. Every 1min tubes were rotated to check righting reflex of skinks. CTmax was defined as the temperature at which an individual lost their righting reflex.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./Final.Figures/FigureS2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S2. Figure S2. Decision tree showing the eligibility criteria used to assess full-text articles.</w:t>
      </w:r>
    </w:p>
    <w:p>
      <w:r>
        <w:br w:type="page"/>
      </w:r>
    </w:p>
    <w:p>
      <w:pPr>
        <w:pStyle w:val="BodyText"/>
      </w:pPr>
      <w:r>
        <w:drawing>
          <wp:inline>
            <wp:extent cx="5943600" cy="33432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Final.Figures/FigureS3.pdf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S3. PRISMA statement illustrating the systematic literature search and record screening process.</w:t>
      </w:r>
    </w:p>
    <w:p>
      <w:r>
        <w:br w:type="page"/>
      </w:r>
    </w:p>
    <w:p>
      <w:pPr>
        <w:pStyle w:val="BodyText"/>
      </w:pPr>
      <w:r>
        <w:drawing>
          <wp:inline>
            <wp:extent cx="5943600" cy="3717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Final.Figures/FigureS4.pd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S4. Funnel plot of the meta-analytic residuals against precision (1/SE). Each point represents a pair-wise temperature comparison. There is no visually detectable asymmetry.</w:t>
      </w:r>
    </w:p>
    <w:p>
      <w:r>
        <w:br w:type="page"/>
      </w:r>
    </w:p>
    <w:p>
      <w:pPr>
        <w:pStyle w:val="BodyText"/>
      </w:pPr>
      <w:r>
        <w:t xml:space="preserve">Table S3. The magnitude of the effect of developmental temperature on ARR on CTmax and Tpref of reptiles.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(0.79)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Thermal 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Ctmax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Tpref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S4. The magnitude of the effect of developmental temperature on ARR when accounting for age class.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655"/>
        <w:gridCol w:w="533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Juvenile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Hatchling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S5. The magnitude of the effect of developmental temperature on ARR when accounting for the species origin.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(0.01).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2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Geographic 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Temperate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Tropical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S6. The magnitude of the effect of developmental temperature on ARR when accounting for reptile taxa. The number of effect sizes is denoted by k and n indicates the number of species. Estimates are species mean meta-analytic estimates with their 95% confidence intervals (lowerCL = lower bound &amp; upperCL = upper bound) and prediction intervals (lowerPR = lower bound &amp; upperPR = upper bound). P values indicate if values are significantly different from zero. The conditional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(0.80) and the marginal r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(0.38).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655"/>
        <w:gridCol w:w="655"/>
        <w:gridCol w:w="1266"/>
        <w:gridCol w:w="1255"/>
        <w:gridCol w:w="1242"/>
        <w:gridCol w:w="1279"/>
        <w:gridCol w:w="1120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Lizard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Snake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Tuatara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Turtle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bookmarkEnd w:id="40"/>
    <w:sectPr w:rsidR="00291A2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A452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1D058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142E0D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BB68D2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FB2BED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B9634A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20FA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9FAA1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2080C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36C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90EC8D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C1AE401"/>
    <w:multiLevelType w:val="multilevel"/>
    <w:tmpl w:val="329A93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32B69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32B69"/>
    <w:rPr>
      <w:rFonts w:ascii="Times New Roman" w:hAnsi="Times New Roman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3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8" Target="media/rId28.pdf" /><Relationship Type="http://schemas.openxmlformats.org/officeDocument/2006/relationships/image" Id="rId31" Target="media/rId31.pdf" /><Relationship Type="http://schemas.openxmlformats.org/officeDocument/2006/relationships/image" Id="rId34" Target="media/rId34.pdf" /><Relationship Type="http://schemas.openxmlformats.org/officeDocument/2006/relationships/image" Id="rId37" Target="media/rId37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Kristoffer Wild</dc:creator>
  <cp:keywords/>
  <dcterms:created xsi:type="dcterms:W3CDTF">2023-01-17T04:20:37Z</dcterms:created>
  <dcterms:modified xsi:type="dcterms:W3CDTF">2023-01-17T04:20:37Z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