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df" ContentType="application/pdf"/>
  <Override PartName="/word/media/rId24.pdf" ContentType="application/pdf"/>
  <Override PartName="/word/media/rId28.pdf" ContentType="application/pdf"/>
  <Override PartName="/word/media/rId31.pdf" ContentType="application/pdf"/>
  <Override PartName="/word/media/rId34.pdf" ContentType="application/pdf"/>
  <Override PartName="/word/media/rId37.pdf" ContentType="application/pdf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Results</w:t>
      </w:r>
    </w:p>
    <w:p>
      <w:pPr>
        <w:pStyle w:val="Author"/>
      </w:pPr>
      <w:r>
        <w:t xml:space="preserve">Kristoffer</w:t>
      </w:r>
      <w:r>
        <w:t xml:space="preserve"> </w:t>
      </w:r>
      <w:r>
        <w:t xml:space="preserve">Wild</w:t>
      </w:r>
    </w:p>
    <w:p>
      <w:pPr>
        <w:pStyle w:val="Date"/>
      </w:pPr>
      <w:r>
        <w:t xml:space="preserve">2023-01-17</w:t>
      </w:r>
    </w:p>
    <w:bookmarkStart w:id="20" w:name="results"/>
    <w:p>
      <w:pPr>
        <w:pStyle w:val="Heading1"/>
      </w:pPr>
      <w:r>
        <w:t xml:space="preserve">Results</w:t>
      </w:r>
    </w:p>
    <w:p>
      <w:pPr>
        <w:pStyle w:val="FirstParagraph"/>
      </w:pPr>
      <w:r>
        <w:rPr>
          <w:iCs/>
          <w:i/>
        </w:rPr>
        <w:t xml:space="preserve">(a)Incubation temperature and resource allocation consequences on thermal preference and critical thermal maximum</w:t>
      </w:r>
    </w:p>
    <w:p>
      <w:pPr>
        <w:pStyle w:val="BodyText"/>
      </w:pPr>
      <w:r>
        <w:t xml:space="preserve">Hatchling</w:t>
      </w:r>
      <w:r>
        <w:t xml:space="preserve"> </w:t>
      </w:r>
      <w:r>
        <w:rPr>
          <w:iCs/>
          <w:i/>
        </w:rPr>
        <w:t xml:space="preserve">Lampropholis delicata</w:t>
      </w:r>
      <w:r>
        <w:t xml:space="preserve"> </w:t>
      </w:r>
      <w:r>
        <w:t xml:space="preserve">mean thermal preference (T</w:t>
      </w:r>
      <m:oMath>
        <m:sSub>
          <m:e>
            <m:r>
              <m:t>​</m:t>
            </m:r>
          </m:e>
          <m:sub>
            <m:r>
              <m:t>p</m:t>
            </m:r>
            <m:r>
              <m:t>r</m:t>
            </m:r>
            <m:r>
              <m:t>e</m:t>
            </m:r>
            <m:r>
              <m:t>f</m:t>
            </m:r>
          </m:sub>
        </m:sSub>
      </m:oMath>
      <w:r>
        <w:t xml:space="preserve">) was 31</w:t>
      </w:r>
      <m:oMath>
        <m:sSup>
          <m:e>
            <m:r>
              <m:t>​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C and ranged from 20.99–34.26</w:t>
      </w:r>
      <m:oMath>
        <m:sSup>
          <m:e>
            <m:r>
              <m:t>​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C. Mean critical thermal maximum (CT</w:t>
      </w:r>
      <m:oMath>
        <m:sSub>
          <m:e>
            <m:r>
              <m:t>​</m:t>
            </m:r>
          </m:e>
          <m:sub>
            <m:r>
              <m:t>m</m:t>
            </m:r>
            <m:r>
              <m:t>a</m:t>
            </m:r>
            <m:r>
              <m:t>x</m:t>
            </m:r>
          </m:sub>
        </m:sSub>
      </m:oMath>
      <w:r>
        <w:t xml:space="preserve">) was 43.04</w:t>
      </w:r>
      <m:oMath>
        <m:sSup>
          <m:e>
            <m:r>
              <m:t>​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C and ranged from 38.6–45.2</w:t>
      </w:r>
      <m:oMath>
        <m:sSup>
          <m:e>
            <m:r>
              <m:t>​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C. We did not detect any effect of incubation temperature, yolk treatment, sex, or body mass on T</w:t>
      </w:r>
      <m:oMath>
        <m:sSub>
          <m:e>
            <m:r>
              <m:t>​</m:t>
            </m:r>
          </m:e>
          <m:sub>
            <m:r>
              <m:t>p</m:t>
            </m:r>
            <m:r>
              <m:t>r</m:t>
            </m:r>
            <m:r>
              <m:t>e</m:t>
            </m:r>
            <m:r>
              <m:t>f</m:t>
            </m:r>
          </m:sub>
        </m:sSub>
      </m:oMath>
      <w:r>
        <w:t xml:space="preserve"> </w:t>
      </w:r>
      <w:r>
        <w:t xml:space="preserve">or CT</w:t>
      </w:r>
      <m:oMath>
        <m:sSub>
          <m:e>
            <m:r>
              <m:t>​</m:t>
            </m:r>
          </m:e>
          <m:sub>
            <m:r>
              <m:t>m</m:t>
            </m:r>
            <m:r>
              <m:t>a</m:t>
            </m:r>
            <m:r>
              <m:t>x</m:t>
            </m:r>
          </m:sub>
        </m:sSub>
      </m:oMath>
      <w:r>
        <w:t xml:space="preserve"> </w:t>
      </w:r>
      <w:r>
        <w:t xml:space="preserve">(Figure 1A|B; Table 1). The WAIC model comparisons further support these findings, where our null model ranked as the most parsimonious over other model combinations for both T</w:t>
      </w:r>
      <m:oMath>
        <m:sSub>
          <m:e>
            <m:r>
              <m:t>​</m:t>
            </m:r>
          </m:e>
          <m:sub>
            <m:r>
              <m:t>p</m:t>
            </m:r>
            <m:r>
              <m:t>r</m:t>
            </m:r>
            <m:r>
              <m:t>e</m:t>
            </m:r>
            <m:r>
              <m:t>f</m:t>
            </m:r>
          </m:sub>
        </m:sSub>
      </m:oMath>
      <w:r>
        <w:t xml:space="preserve"> </w:t>
      </w:r>
      <w:r>
        <w:t xml:space="preserve">or CT</w:t>
      </w:r>
      <m:oMath>
        <m:sSub>
          <m:e>
            <m:r>
              <m:t>​</m:t>
            </m:r>
          </m:e>
          <m:sub>
            <m:r>
              <m:t>m</m:t>
            </m:r>
            <m:r>
              <m:t>a</m:t>
            </m:r>
            <m:r>
              <m:t>x</m:t>
            </m:r>
          </m:sub>
        </m:sSub>
      </m:oMath>
      <w:r>
        <w:t xml:space="preserve"> </w:t>
      </w:r>
      <w:r>
        <w:t xml:space="preserve">(Table S1)</w:t>
      </w:r>
    </w:p>
    <w:p>
      <w:pPr>
        <w:pStyle w:val="BodyText"/>
      </w:pPr>
      <w:r>
        <w:rPr>
          <w:iCs/>
          <w:i/>
        </w:rPr>
        <w:t xml:space="preserve">(b) Meta-analysis of early thermal effects on thermal physiology in reptiles</w:t>
      </w:r>
    </w:p>
    <w:p>
      <w:pPr>
        <w:pStyle w:val="BodyText"/>
      </w:pPr>
      <w:r>
        <w:t xml:space="preserve">Across reptiles, developmental temperatures did not influence thermal traits (T</w:t>
      </w:r>
      <m:oMath>
        <m:sSub>
          <m:e>
            <m:r>
              <m:t>​</m:t>
            </m:r>
          </m:e>
          <m:sub>
            <m:r>
              <m:t>p</m:t>
            </m:r>
            <m:r>
              <m:t>r</m:t>
            </m:r>
            <m:r>
              <m:t>e</m:t>
            </m:r>
            <m:r>
              <m:t>f</m:t>
            </m:r>
          </m:sub>
        </m:sSub>
      </m:oMath>
      <w:r>
        <w:t xml:space="preserve"> </w:t>
      </w:r>
      <w:r>
        <w:t xml:space="preserve">or CT</w:t>
      </w:r>
      <m:oMath>
        <m:sSub>
          <m:e>
            <m:r>
              <m:t>​</m:t>
            </m:r>
          </m:e>
          <m:sub>
            <m:r>
              <m:t>m</m:t>
            </m:r>
            <m:r>
              <m:t>a</m:t>
            </m:r>
            <m:r>
              <m:t>x</m:t>
            </m:r>
          </m:sub>
        </m:sSub>
      </m:oMath>
      <w:r>
        <w:t xml:space="preserve">), but heterogeneity was high (ARR =0.05-, 95% CI:-0.28-0.37 ;</w:t>
      </w:r>
      <w:r>
        <w:t xml:space="preserve"> </w:t>
      </w:r>
      <m:oMath>
        <m:sSubSup>
          <m:e>
            <m:r>
              <m:t>I</m:t>
            </m:r>
          </m:e>
          <m:sub>
            <m:r>
              <m:t>T</m:t>
            </m:r>
            <m:r>
              <m:t>o</m:t>
            </m:r>
            <m:r>
              <m:t>t</m:t>
            </m:r>
            <m:r>
              <m:t>a</m:t>
            </m:r>
            <m:r>
              <m:t>l</m:t>
            </m:r>
          </m:sub>
          <m:sup>
            <m:r>
              <m:t>2</m:t>
            </m:r>
          </m:sup>
        </m:sSubSup>
      </m:oMath>
      <w:r>
        <w:t xml:space="preserve"> </w:t>
      </w:r>
      <w:r>
        <w:t xml:space="preserve">= 99.53%, Prediction Interval:-1.23-1.32; Fig. 2A, n = 69 effects from 13 species).Thermal traits were not influenced by life stage or climatic zone (Fig. 2B|C). When analysing each reptilian taxonomic group separately, there was no variation in thermal traits for lizards, tortoises, tuataras, and turtles. However, there was a significant increase in thermal traits in snakes (Fig 2D). Species effects (</w:t>
      </w:r>
      <m:oMath>
        <m:sSubSup>
          <m:e>
            <m:r>
              <m:t>I</m:t>
            </m:r>
          </m:e>
          <m:sub>
            <m:r>
              <m:t>S</m:t>
            </m:r>
            <m:r>
              <m:t>p</m:t>
            </m:r>
            <m:r>
              <m:t>e</m:t>
            </m:r>
            <m:r>
              <m:t>c</m:t>
            </m:r>
            <m:r>
              <m:t>i</m:t>
            </m:r>
            <m:r>
              <m:t>e</m:t>
            </m:r>
            <m:r>
              <m:t>s</m:t>
            </m:r>
          </m:sub>
          <m:sup>
            <m:r>
              <m:t>2</m:t>
            </m:r>
          </m:sup>
        </m:sSubSup>
      </m:oMath>
      <w:r>
        <w:t xml:space="preserve"> </w:t>
      </w:r>
      <w:r>
        <w:t xml:space="preserve">= 99.53%)) drive most of the heterogeneity, with two species Chelydra serpentina and Nerodia sipedon exhibiting significant thermal physiological responses to incubation temperatures (Fig. S2). Under higher developmental temperatures, thermal traits in</w:t>
      </w:r>
      <w:r>
        <w:t xml:space="preserve"> </w:t>
      </w:r>
      <w:r>
        <w:rPr>
          <w:iCs/>
          <w:i/>
        </w:rPr>
        <w:t xml:space="preserve">Chelydra serpentina</w:t>
      </w:r>
      <w:r>
        <w:t xml:space="preserve"> </w:t>
      </w:r>
      <w:r>
        <w:t xml:space="preserve">decline by 7% while thermal traits in</w:t>
      </w:r>
      <w:r>
        <w:t xml:space="preserve"> </w:t>
      </w:r>
      <w:r>
        <w:rPr>
          <w:iCs/>
          <w:i/>
        </w:rPr>
        <w:t xml:space="preserve">Nerodia sipedon</w:t>
      </w:r>
      <w:r>
        <w:t xml:space="preserve"> </w:t>
      </w:r>
      <w:r>
        <w:t xml:space="preserve">increase by 20%. We found no evidence for publication biases (</w:t>
      </w:r>
      <m:oMath>
        <m:r>
          <m:t>β</m:t>
        </m:r>
      </m:oMath>
      <w:r>
        <w:t xml:space="preserve">=-0.81, 95%CI=-1.92-0.3,</w:t>
      </w:r>
      <w:r>
        <w:t xml:space="preserve"> </w:t>
      </w:r>
      <w:r>
        <w:rPr>
          <w:iCs/>
          <w:i/>
        </w:rPr>
        <w:t xml:space="preserve">p=0.15</w:t>
      </w:r>
      <w:r>
        <w:t xml:space="preserve">; Fig S3;</w:t>
      </w:r>
      <w:r>
        <w:t xml:space="preserve"> </w:t>
      </w:r>
      <w:r>
        <w:rPr>
          <w:iCs/>
          <w:i/>
        </w:rPr>
        <w:t xml:space="preserve">for details see electronic supplementary materials</w:t>
      </w:r>
      <w:r>
        <w:t xml:space="preserve">).</w:t>
      </w:r>
    </w:p>
    <w:p>
      <w:r>
        <w:br w:type="page"/>
      </w:r>
    </w:p>
    <w:bookmarkEnd w:id="20"/>
    <w:bookmarkStart w:id="27" w:name="tables-figures"/>
    <w:p>
      <w:pPr>
        <w:pStyle w:val="Heading1"/>
      </w:pPr>
      <w:r>
        <w:t xml:space="preserve">Tables &amp; Figures</w:t>
      </w:r>
    </w:p>
    <w:p>
      <w:pPr>
        <w:pStyle w:val="FirstParagraph"/>
      </w:pPr>
      <w:r>
        <w:t xml:space="preserve">Table 1. Model outputs coefficients for testing wither sex, body mass, incubation temperature, resource, or the interaction between resource and temperature had an effect on T</w:t>
      </w:r>
      <m:oMath>
        <m:sSub>
          <m:e>
            <m:r>
              <m:t>​</m:t>
            </m:r>
          </m:e>
          <m:sub>
            <m:r>
              <m:t>P</m:t>
            </m:r>
            <m:r>
              <m:t>r</m:t>
            </m:r>
            <m:r>
              <m:t>e</m:t>
            </m:r>
            <m:r>
              <m:t>f</m:t>
            </m:r>
          </m:sub>
        </m:sSub>
      </m:oMath>
      <w:r>
        <w:t xml:space="preserve"> </w:t>
      </w:r>
      <w:r>
        <w:t xml:space="preserve">or CT</w:t>
      </w:r>
      <m:oMath>
        <m:sSub>
          <m:e>
            <m:r>
              <m:t>​</m:t>
            </m:r>
          </m:e>
          <m:sub>
            <m:r>
              <m:t>M</m:t>
            </m:r>
            <m:r>
              <m:t>a</m:t>
            </m:r>
            <m:r>
              <m:t>x</m:t>
            </m:r>
          </m:sub>
        </m:sSub>
      </m:oMath>
      <w:r>
        <w:t xml:space="preserve"> </w:t>
      </w:r>
      <w:r>
        <w:t xml:space="preserve">in hatchling</w:t>
      </w:r>
      <w:r>
        <w:t xml:space="preserve"> </w:t>
      </w:r>
      <w:r>
        <w:rPr>
          <w:iCs/>
          <w:i/>
        </w:rPr>
        <w:t xml:space="preserve">Lampropholis delicata</w:t>
      </w:r>
      <w:r>
        <w:t xml:space="preserve">. Est. value describes the estimated coefficient value and 95% CI describes the lower and upper bound of the 95% credible interval for each coefficient value. Intercept is the estimated mean of each thermal trait from the null model.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17"/>
        <w:gridCol w:w="3774"/>
        <w:gridCol w:w="1266"/>
        <w:gridCol w:w="1254"/>
        <w:gridCol w:w="1328"/>
        <w:gridCol w:w="1120"/>
      </w:tblGrid>
      <w:tr>
        <w:trPr>
          <w:cantSplit/>
          <w:trHeight w:val="614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Thermal Index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Covariate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l-95% CI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u-95% CI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value</w:t>
            </w:r>
          </w:p>
        </w:tc>
      </w:tr>
      <w:tr>
        <w:trPr>
          <w:cantSplit/>
          <w:trHeight w:val="618" w:hRule="auto"/>
        </w:trPr>
        body 1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Tpref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30.94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28.67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33.20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cantSplit/>
          <w:trHeight w:val="617" w:hRule="auto"/>
        </w:trPr>
        body 2
        <w:tc>
          <w:tcPr>
            <w:vMerge/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Body Mass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</w:tr>
      <w:tr>
        <w:trPr>
          <w:cantSplit/>
          <w:trHeight w:val="617" w:hRule="auto"/>
        </w:trPr>
        body 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</w:t>
            </w:r>
          </w:p>
        </w:tc>
      </w:tr>
      <w:tr>
        <w:trPr>
          <w:cantSplit/>
          <w:trHeight w:val="617" w:hRule="auto"/>
        </w:trPr>
        body 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Incubation Temperature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</w:t>
            </w:r>
          </w:p>
        </w:tc>
      </w:tr>
      <w:tr>
        <w:trPr>
          <w:cantSplit/>
          <w:trHeight w:val="617" w:hRule="auto"/>
        </w:trPr>
        body 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Resource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</w:t>
            </w:r>
          </w:p>
        </w:tc>
      </w:tr>
      <w:tr>
        <w:trPr>
          <w:cantSplit/>
          <w:trHeight w:val="617" w:hRule="auto"/>
        </w:trPr>
        body 6
        <w:tc>
          <w:tcPr>
            <w:vMerge/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Incubation Temperature*Resource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-4.31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3.87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</w:t>
            </w:r>
          </w:p>
        </w:tc>
      </w:tr>
      <w:tr>
        <w:trPr>
          <w:cantSplit/>
          <w:trHeight w:val="618" w:hRule="auto"/>
        </w:trPr>
        body 7
        <w:tc>
          <w:tcPr>
            <w:vMerge w:val="restart"/>
            <w:tcBorders>
              <w:bottom w:val="single" w:sz="16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CTmax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43.27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42.17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44.37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cantSplit/>
          <w:trHeight w:val="616" w:hRule="auto"/>
        </w:trPr>
        body 8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Body Mass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</w:tr>
      <w:tr>
        <w:trPr>
          <w:cantSplit/>
          <w:trHeight w:val="577" w:hRule="auto"/>
        </w:trPr>
        body 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</w:tr>
      <w:tr>
        <w:trPr>
          <w:cantSplit/>
          <w:trHeight w:val="615" w:hRule="auto"/>
        </w:trPr>
        body10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Incubation Temperature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</w:t>
            </w:r>
          </w:p>
        </w:tc>
      </w:tr>
      <w:tr>
        <w:trPr>
          <w:cantSplit/>
          <w:trHeight w:val="577" w:hRule="auto"/>
        </w:trPr>
        body11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Resource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</w:t>
            </w:r>
          </w:p>
        </w:tc>
      </w:tr>
      <w:tr>
        <w:trPr>
          <w:cantSplit/>
          <w:trHeight w:val="615" w:hRule="auto"/>
        </w:trPr>
        body12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Incubation Temperature*Resource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</w:t>
            </w:r>
          </w:p>
        </w:tc>
      </w:tr>
    </w:tbl>
    <w:p>
      <w:r>
        <w:br w:type="page"/>
      </w:r>
    </w:p>
    <w:p>
      <w:pPr>
        <w:pStyle w:val="BodyText"/>
      </w:pPr>
      <w:r>
        <w:drawing>
          <wp:inline>
            <wp:extent cx="5943600" cy="3343275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../Final.Figures/Figure1.pdf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Figure 1. Thermal indices across different incubation temperatures and resource treatments for hatchling</w:t>
      </w:r>
      <w:r>
        <w:t xml:space="preserve"> </w:t>
      </w:r>
      <w:r>
        <w:rPr>
          <w:iCs/>
          <w:i/>
        </w:rPr>
        <w:t xml:space="preserve">Lampropholis delicata</w:t>
      </w:r>
      <w:r>
        <w:t xml:space="preserve"> </w:t>
      </w:r>
      <w:r>
        <w:t xml:space="preserve">(n=10 per temperature and treatment). (A) Thermal preference (T</w:t>
      </w:r>
      <m:oMath>
        <m:sSub>
          <m:e>
            <m:r>
              <m:t>​</m:t>
            </m:r>
          </m:e>
          <m:sub>
            <m:r>
              <m:t>p</m:t>
            </m:r>
            <m:r>
              <m:t>r</m:t>
            </m:r>
            <m:r>
              <m:t>e</m:t>
            </m:r>
            <m:r>
              <m:t>f</m:t>
            </m:r>
          </m:sub>
        </m:sSub>
      </m:oMath>
      <w:r>
        <w:t xml:space="preserve">) in lizards incubated at 23 &amp; 28°C for each resource treatment (yolk ablation &amp; control). (B) Critical thermal maximum (CT</w:t>
      </w:r>
      <m:oMath>
        <m:sSub>
          <m:e>
            <m:r>
              <m:t>​</m:t>
            </m:r>
          </m:e>
          <m:sub>
            <m:r>
              <m:t>m</m:t>
            </m:r>
            <m:r>
              <m:t>a</m:t>
            </m:r>
            <m:r>
              <m:t>x</m:t>
            </m:r>
          </m:sub>
        </m:sSub>
      </m:oMath>
      <w:r>
        <w:t xml:space="preserve">) in lizards incubated at 23 &amp; 28°C for each resource treatment. Bars above plots indicate pairwise comparisons of thermal indices between treatment temperature and the interaction between treatment temperature and resource treatment.</w:t>
      </w:r>
    </w:p>
    <w:p>
      <w:r>
        <w:br w:type="page"/>
      </w:r>
    </w:p>
    <w:p>
      <w:pPr>
        <w:pStyle w:val="BodyText"/>
      </w:pPr>
      <w:r>
        <w:drawing>
          <wp:inline>
            <wp:extent cx="5943600" cy="3343275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../Final.Figures/Figure2.pdf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Figure 2. Magnitude of the effect on developmental temperature on thermal indices (T</w:t>
      </w:r>
      <m:oMath>
        <m:sSub>
          <m:e>
            <m:r>
              <m:t>​</m:t>
            </m:r>
          </m:e>
          <m:sub>
            <m:r>
              <m:t>p</m:t>
            </m:r>
            <m:r>
              <m:t>r</m:t>
            </m:r>
            <m:r>
              <m:t>e</m:t>
            </m:r>
            <m:r>
              <m:t>f</m:t>
            </m:r>
          </m:sub>
        </m:sSub>
      </m:oMath>
      <w:r>
        <w:t xml:space="preserve"> </w:t>
      </w:r>
      <w:r>
        <w:t xml:space="preserve">&amp; CT</w:t>
      </w:r>
      <m:oMath>
        <m:sSub>
          <m:e>
            <m:r>
              <m:t>​</m:t>
            </m:r>
          </m:e>
          <m:sub>
            <m:r>
              <m:t>m</m:t>
            </m:r>
            <m:r>
              <m:t>a</m:t>
            </m:r>
            <m:r>
              <m:t>x</m:t>
            </m:r>
          </m:sub>
        </m:sSub>
      </m:oMath>
      <w:r>
        <w:t xml:space="preserve">) in reptiles (A) with respect to age class (B), climatic zone (C), and taxon (D). Mean meta-analytic estimates (circles) with their 95% confidence intervals (thicker error bars) and prediction intervals (thinner error bars). Individual data points (colored circles) from each study from meta-analysis are scaled by precision (inverse of standard error) and k is the number of effect sizes with number of species in brackets. ARR is acclimation response ratio. Graphs were constructed using the orchaRd package (Nakagawa et al., 2021; version 2.0).</w:t>
      </w:r>
    </w:p>
    <w:p>
      <w:r>
        <w:br w:type="page"/>
      </w:r>
    </w:p>
    <w:bookmarkEnd w:id="27"/>
    <w:bookmarkStart w:id="40" w:name="supplementary-tables"/>
    <w:p>
      <w:pPr>
        <w:pStyle w:val="Heading1"/>
      </w:pPr>
      <w:r>
        <w:t xml:space="preserve">Supplementary Tables</w:t>
      </w:r>
    </w:p>
    <w:p>
      <w:pPr>
        <w:pStyle w:val="FirstParagraph"/>
      </w:pPr>
      <w:r>
        <w:drawing>
          <wp:inline>
            <wp:extent cx="5943600" cy="3343275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../Final.Figures/FigureS1.pdf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Figure S1.Methods for collecting Tpref in Lampropholis delicata. Lizards were placed in Falcon tubes in a temperature-controlled bath. To obtain the most accurate Tb for skinks, temperature was monitored with a thermocouple probe secured within Falcon tube and an additional thermal couple that was placed in the bath. Water temperature was increased to 38◦C at a rate of 1◦C/min intervals. Every 1min tubes were rotated to check righting reflex of skinks. CTmax was defined as the temperature at which an individual lost their righting reflex.</w:t>
      </w:r>
    </w:p>
    <w:p>
      <w:r>
        <w:br w:type="page"/>
      </w:r>
    </w:p>
    <w:p>
      <w:pPr>
        <w:pStyle w:val="BodyText"/>
      </w:pPr>
      <w:r>
        <w:drawing>
          <wp:inline>
            <wp:extent cx="5943600" cy="3343275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../Final.Figures/FigureS2.pdf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Figure S2. Figure S2. Decision tree showing the eligibility criteria used to assess full-text articles.</w:t>
      </w:r>
    </w:p>
    <w:p>
      <w:r>
        <w:br w:type="page"/>
      </w:r>
    </w:p>
    <w:p>
      <w:pPr>
        <w:pStyle w:val="BodyText"/>
      </w:pPr>
      <w:r>
        <w:drawing>
          <wp:inline>
            <wp:extent cx="5943600" cy="3343275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../Final.Figures/FigureS3.pdf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Figure S3. PRISMA statement illustrating the systematic literature search and record screening process.</w:t>
      </w:r>
    </w:p>
    <w:p>
      <w:r>
        <w:br w:type="page"/>
      </w:r>
    </w:p>
    <w:p>
      <w:pPr>
        <w:pStyle w:val="BodyText"/>
      </w:pPr>
      <w:r>
        <w:drawing>
          <wp:inline>
            <wp:extent cx="5943600" cy="3717170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../Final.Figures/FigureS4.pdf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71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Figure S4. Funnel plot of the meta-analytic residuals against precision (1/SE). Each point represents a pair-wise temperature comparison. There is no visually detectable asymmetry.</w:t>
      </w:r>
    </w:p>
    <w:p>
      <w:r>
        <w:br w:type="page"/>
      </w:r>
    </w:p>
    <w:p>
      <w:pPr>
        <w:pStyle w:val="BodyText"/>
      </w:pPr>
      <w:r>
        <w:t xml:space="preserve">Table S3. The magnitude of the effect of developmental temperature on ARR on CTmax and Tpref of reptiles. The number of effect sizes is denoted by k and n indicates the number of species. Estimates are species mean meta-analytic estimates with their 95% confidence intervals (lowerCL = lower bound &amp; upperCL = upper bound) and prediction intervals (lowerPR = lower bound &amp; upperPR = upper bound). P values indicate if values are significantly different from zero. The conditional r</w:t>
      </w:r>
      <m:oMath>
        <m:sSup>
          <m:e>
            <m:r>
              <m:t>​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(0.79) and the marginal r</w:t>
      </w:r>
      <m:oMath>
        <m:sSup>
          <m:e>
            <m:r>
              <m:t>​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(0.01).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78"/>
        <w:gridCol w:w="655"/>
        <w:gridCol w:w="655"/>
        <w:gridCol w:w="1266"/>
        <w:gridCol w:w="1255"/>
        <w:gridCol w:w="1242"/>
        <w:gridCol w:w="1279"/>
        <w:gridCol w:w="1120"/>
      </w:tblGrid>
      <w:tr>
        <w:trPr>
          <w:cantSplit/>
          <w:trHeight w:val="619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Thermal metric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upperCL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lowerPR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upperPR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value</w:t>
            </w:r>
          </w:p>
        </w:tc>
      </w:tr>
      <w:tr>
        <w:trPr>
          <w:cantSplit/>
          <w:trHeight w:val="577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Ctmax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</w:tr>
      <w:tr>
        <w:trPr>
          <w:cantSplit/>
          <w:trHeight w:val="617" w:hRule="auto"/>
        </w:trPr>
        body2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Tpref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Table S4. The magnitude of the effect of developmental temperature on ARR when accounting for age class. The number of effect sizes is denoted by k and n indicates the number of species. Estimates are species mean meta-analytic estimates with their 95% confidence intervals (lowerCL = lower bound &amp; upperCL = upper bound) and prediction intervals (lowerPR = lower bound &amp; upperPR = upper bound). P values indicate if values are significantly different from zero. The conditional r</w:t>
      </w:r>
      <m:oMath>
        <m:sSup>
          <m:e>
            <m:r>
              <m:t>​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(0.80) and the marginal r</w:t>
      </w:r>
      <m:oMath>
        <m:sSup>
          <m:e>
            <m:r>
              <m:t>​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(0.01).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364"/>
        <w:gridCol w:w="655"/>
        <w:gridCol w:w="533"/>
        <w:gridCol w:w="1266"/>
        <w:gridCol w:w="1255"/>
        <w:gridCol w:w="1242"/>
        <w:gridCol w:w="1279"/>
        <w:gridCol w:w="1120"/>
      </w:tblGrid>
      <w:tr>
        <w:trPr>
          <w:cantSplit/>
          <w:trHeight w:val="619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class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upperCL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lowerPR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upperPR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value</w:t>
            </w:r>
          </w:p>
        </w:tc>
      </w:tr>
      <w:tr>
        <w:trPr>
          <w:cantSplit/>
          <w:trHeight w:val="573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Adult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</w:tr>
      <w:tr>
        <w:trPr>
          <w:cantSplit/>
          <w:trHeight w:val="573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Juvenile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</w:tr>
      <w:tr>
        <w:trPr>
          <w:cantSplit/>
          <w:trHeight w:val="618" w:hRule="auto"/>
        </w:trPr>
        body3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Hatchling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Table S5. The magnitude of the effect of developmental temperature on ARR when accounting for the species origin. The number of effect sizes is denoted by k and n indicates the number of species. Estimates are species mean meta-analytic estimates with their 95% confidence intervals (lowerCL = lower bound &amp; upperCL = upper bound) and prediction intervals (lowerPR = lower bound &amp; upperPR = upper bound). P values indicate if values are significantly different from zero. The conditional r</w:t>
      </w:r>
      <m:oMath>
        <m:sSup>
          <m:e>
            <m:r>
              <m:t>​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(0.80) and the marginal r</w:t>
      </w:r>
      <m:oMath>
        <m:sSup>
          <m:e>
            <m:r>
              <m:t>​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(0.01).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86"/>
        <w:gridCol w:w="655"/>
        <w:gridCol w:w="655"/>
        <w:gridCol w:w="1266"/>
        <w:gridCol w:w="1255"/>
        <w:gridCol w:w="1242"/>
        <w:gridCol w:w="1279"/>
        <w:gridCol w:w="1120"/>
      </w:tblGrid>
      <w:tr>
        <w:trPr>
          <w:cantSplit/>
          <w:trHeight w:val="62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Geographic zone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upperCL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lowerPR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upperPR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value</w:t>
            </w:r>
          </w:p>
        </w:tc>
      </w:tr>
      <w:tr>
        <w:trPr>
          <w:cantSplit/>
          <w:trHeight w:val="614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Temperate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</w:t>
            </w:r>
          </w:p>
        </w:tc>
      </w:tr>
      <w:tr>
        <w:trPr>
          <w:cantSplit/>
          <w:trHeight w:val="614" w:hRule="auto"/>
        </w:trPr>
        body2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Tropical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Table S6. The magnitude of the effect of developmental temperature on ARR when accounting for reptile taxa. The number of effect sizes is denoted by k and n indicates the number of species. Estimates are species mean meta-analytic estimates with their 95% confidence intervals (lowerCL = lower bound &amp; upperCL = upper bound) and prediction intervals (lowerPR = lower bound &amp; upperPR = upper bound). P values indicate if values are significantly different from zero. The conditional r</w:t>
      </w:r>
      <m:oMath>
        <m:sSup>
          <m:e>
            <m:r>
              <m:t>​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(0.80) and the marginal r</w:t>
      </w:r>
      <m:oMath>
        <m:sSup>
          <m:e>
            <m:r>
              <m:t>​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(0.38).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169"/>
        <w:gridCol w:w="655"/>
        <w:gridCol w:w="655"/>
        <w:gridCol w:w="1266"/>
        <w:gridCol w:w="1255"/>
        <w:gridCol w:w="1242"/>
        <w:gridCol w:w="1279"/>
        <w:gridCol w:w="1120"/>
      </w:tblGrid>
      <w:tr>
        <w:trPr>
          <w:cantSplit/>
          <w:trHeight w:val="619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Taxa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upperCL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lowerPR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upperPR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value</w:t>
            </w:r>
          </w:p>
        </w:tc>
      </w:tr>
      <w:tr>
        <w:trPr>
          <w:cantSplit/>
          <w:trHeight w:val="573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Lizard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</w:t>
            </w:r>
          </w:p>
        </w:tc>
      </w:tr>
      <w:tr>
        <w:trPr>
          <w:cantSplit/>
          <w:trHeight w:val="57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Snake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</w:tr>
      <w:tr>
        <w:trPr>
          <w:cantSplit/>
          <w:trHeight w:val="572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Tuatara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</w:tr>
      <w:tr>
        <w:trPr>
          <w:cantSplit/>
          <w:trHeight w:val="573" w:hRule="auto"/>
        </w:trPr>
        body4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Turtle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</w:t>
            </w:r>
          </w:p>
        </w:tc>
      </w:tr>
    </w:tbl>
    <w:bookmarkEnd w:id="40"/>
    <w:sectPr w:rsidR="00291A28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4A4523C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41D058C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4142E0D8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7BB68D2A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BFB2BED4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B9634A0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3420FA1E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E9FAA196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12080CE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9236C13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90EC8D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1">
    <w:nsid w:val="2C1AE401"/>
    <w:multiLevelType w:val="multilevel"/>
    <w:tmpl w:val="329A933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0"/>
  </w:num>
  <w:num w:numId="2">
    <w:abstractNumId w:val="10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8"/>
  </w:num>
  <w:num w:numId="8">
    <w:abstractNumId w:val="4"/>
  </w:num>
  <w:num w:numId="9">
    <w:abstractNumId w:val="5"/>
  </w:num>
  <w:num w:numId="10">
    <w:abstractNumId w:val="6"/>
  </w:num>
  <w:num w:numId="11">
    <w:abstractNumId w:val="7"/>
  </w:num>
  <w:num w:numId="1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13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rsid w:val="00232B69"/>
    <w:pPr>
      <w:keepNext/>
      <w:keepLines/>
      <w:spacing w:after="0" w:before="480"/>
      <w:outlineLvl w:val="0"/>
    </w:pPr>
    <w:rPr>
      <w:rFonts w:ascii="Times New Roman" w:cstheme="majorBidi" w:eastAsiaTheme="majorEastAsia" w:hAnsi="Times New Roman"/>
      <w:b/>
      <w:bCs/>
      <w:color w:themeColor="text1" w:val="000000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  <w:rsid w:val="00232B69"/>
    <w:rPr>
      <w:rFonts w:ascii="Times New Roman" w:hAnsi="Times New Roman"/>
    </w:rPr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customStyle="1" w:styleId="BodyTextChar" w:type="character">
    <w:name w:val="Body Text Char"/>
    <w:basedOn w:val="DefaultParagraphFont"/>
    <w:link w:val="BodyText"/>
    <w:rsid w:val="00232B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df" /><Relationship Type="http://schemas.openxmlformats.org/officeDocument/2006/relationships/image" Id="rId24" Target="media/rId24.pdf" /><Relationship Type="http://schemas.openxmlformats.org/officeDocument/2006/relationships/image" Id="rId28" Target="media/rId28.pdf" /><Relationship Type="http://schemas.openxmlformats.org/officeDocument/2006/relationships/image" Id="rId31" Target="media/rId31.pdf" /><Relationship Type="http://schemas.openxmlformats.org/officeDocument/2006/relationships/image" Id="rId34" Target="media/rId34.pdf" /><Relationship Type="http://schemas.openxmlformats.org/officeDocument/2006/relationships/image" Id="rId37" Target="media/rId37.pdf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269</Words>
  <Characters>1536</Characters>
  <Application>Microsoft Office Word</Application>
  <DocSecurity>0</DocSecurity>
  <Lines>12</Lines>
  <Paragraphs>3</Paragraphs>
  <ScaleCrop>false</ScaleCrop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Results</dc:title>
  <dc:creator>Kristoffer Wild</dc:creator>
  <cp:keywords/>
  <dcterms:created xsi:type="dcterms:W3CDTF">2023-01-17T02:48:12Z</dcterms:created>
  <dcterms:modified xsi:type="dcterms:W3CDTF">2023-01-17T02:48:12Z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2023-01-17</vt:lpwstr>
  </property>
  <property fmtid="{D5CDD505-2E9C-101B-9397-08002B2CF9AE}" pid="3" name="editor_options">
    <vt:lpwstr/>
  </property>
  <property fmtid="{D5CDD505-2E9C-101B-9397-08002B2CF9AE}" pid="4" name="output">
    <vt:lpwstr/>
  </property>
</Properties>
</file>