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df" ContentType="application/pdf"/>
  <Override PartName="/word/media/rId24.pdf" ContentType="application/pdf"/>
  <Override PartName="/word/media/rId28.pdf" ContentType="application/pdf"/>
  <Override PartName="/word/media/rId31.pdf" ContentType="application/pdf"/>
  <Override PartName="/word/media/rId34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Kristoffer</w:t>
      </w:r>
      <w:r>
        <w:t xml:space="preserve"> </w:t>
      </w:r>
      <w:r>
        <w:t xml:space="preserve">Wild</w:t>
      </w:r>
    </w:p>
    <w:p>
      <w:pPr>
        <w:pStyle w:val="Date"/>
      </w:pPr>
      <w:r>
        <w:t xml:space="preserve">2023-01-04</w:t>
      </w:r>
    </w:p>
    <w:bookmarkStart w:id="20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rPr>
          <w:iCs/>
          <w:i/>
        </w:rPr>
        <w:t xml:space="preserve">(a)Incubation temperature and resource allocation consequences on thermal preference and critical thermal maximum</w:t>
      </w:r>
    </w:p>
    <w:p>
      <w:pPr>
        <w:pStyle w:val="BodyText"/>
      </w:pPr>
      <w:r>
        <w:t xml:space="preserve">Hatchling</w:t>
      </w:r>
      <w:r>
        <w:t xml:space="preserve"> </w:t>
      </w:r>
      <w:r>
        <w:rPr>
          <w:iCs/>
          <w:i/>
        </w:rPr>
        <w:t xml:space="preserve">Lampropholis delicata</w:t>
      </w:r>
      <w:r>
        <w:t xml:space="preserve"> </w:t>
      </w:r>
      <w:r>
        <w:t xml:space="preserve">mean thermal preference (T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) was 31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and ranged from 20.99–34.26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C. Mean critical thermal maximum (CT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 was 43.04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and ranged from 38.6–45.2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C. We did not detect any effect of incubation temperature, yolk treatment, sex, or body mass on 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 </w:t>
      </w:r>
      <w:r>
        <w:t xml:space="preserve">or 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(Figure 1A|B; Table 1). The WAIC model comparisons further support these findings, where our null model ranked as the most parsimonious over other model combinations for both 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 </w:t>
      </w:r>
      <w:r>
        <w:t xml:space="preserve">or 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(Table S1)</w:t>
      </w:r>
    </w:p>
    <w:p>
      <w:pPr>
        <w:pStyle w:val="BodyText"/>
      </w:pPr>
      <w:r>
        <w:rPr>
          <w:iCs/>
          <w:i/>
        </w:rPr>
        <w:t xml:space="preserve">(b) Meta-analysis of early thermal effects on thermal physiology in reptiles</w:t>
      </w:r>
    </w:p>
    <w:p>
      <w:pPr>
        <w:pStyle w:val="BodyText"/>
      </w:pPr>
      <w:r>
        <w:t xml:space="preserve">Across reptiles, developmental temperatures did not influence thermal traits (T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 </w:t>
      </w:r>
      <w:r>
        <w:t xml:space="preserve">or 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), but heterogeneity was high (ARR =NA-, 95% CI:-0.32-0.39 ;</w:t>
      </w:r>
      <w:r>
        <w:t xml:space="preserve"> </w:t>
      </w:r>
      <m:oMath>
        <m:sSubSup>
          <m:e>
            <m:r>
              <m:t>I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98.04%, Prediction Interval:-1.32-1.39; Fig. 2A, n = 69 effects from 13 species).Thermal traits were not influenced by life stage or latitude (Fig. 2B|C). When analysing each reptilian taxonomic group separately, there was no variation in thermal traits for lizards, tortoises, tuataras, and turtles. However, there was a significant increase in thermal traits in snakes (Fig 2D). Species effects (</w:t>
      </w:r>
      <m:oMath>
        <m:sSubSup>
          <m:e>
            <m:r>
              <m:t>I</m:t>
            </m:r>
          </m:e>
          <m:sub>
            <m:r>
              <m:t>S</m:t>
            </m:r>
            <m:r>
              <m:t>p</m:t>
            </m:r>
            <m:r>
              <m:t>e</m:t>
            </m:r>
            <m:r>
              <m:t>c</m:t>
            </m:r>
            <m:r>
              <m:t>i</m:t>
            </m:r>
            <m:r>
              <m:t>e</m:t>
            </m:r>
            <m:r>
              <m:t>s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90.01%)) drive most of the heterogeneity, with two species Chelydra serpentina and Nerodia sipedon exhibiting significant thermal physiological responses to incubation temperatures (Fig. S2). Under higher developmental temperatures, thermal traits in</w:t>
      </w:r>
      <w:r>
        <w:t xml:space="preserve"> </w:t>
      </w:r>
      <w:r>
        <w:rPr>
          <w:iCs/>
          <w:i/>
        </w:rPr>
        <w:t xml:space="preserve">Chelydra serpentina</w:t>
      </w:r>
      <w:r>
        <w:t xml:space="preserve"> </w:t>
      </w:r>
      <w:r>
        <w:t xml:space="preserve">decline by 7% while thermal traits in</w:t>
      </w:r>
      <w:r>
        <w:t xml:space="preserve"> </w:t>
      </w:r>
      <w:r>
        <w:rPr>
          <w:iCs/>
          <w:i/>
        </w:rPr>
        <w:t xml:space="preserve">Nerodia sipedon</w:t>
      </w:r>
      <w:r>
        <w:t xml:space="preserve"> </w:t>
      </w:r>
      <w:r>
        <w:t xml:space="preserve">increase by 20%. We found no evidence for publication biases (</w:t>
      </w:r>
      <m:oMath>
        <m:r>
          <m:t>β</m:t>
        </m:r>
      </m:oMath>
      <w:r>
        <w:t xml:space="preserve">=0.9, 95%CI=-13.14-14.93,</w:t>
      </w:r>
      <w:r>
        <w:t xml:space="preserve"> </w:t>
      </w:r>
      <w:r>
        <w:rPr>
          <w:iCs/>
          <w:i/>
        </w:rPr>
        <w:t xml:space="preserve">p=0.9</w:t>
      </w:r>
      <w:r>
        <w:t xml:space="preserve">; Fig S3;</w:t>
      </w:r>
      <w:r>
        <w:t xml:space="preserve"> </w:t>
      </w:r>
      <w:r>
        <w:rPr>
          <w:iCs/>
          <w:i/>
        </w:rPr>
        <w:t xml:space="preserve">for details see electronic supplementary materials</w:t>
      </w:r>
      <w:r>
        <w:t xml:space="preserve">).</w:t>
      </w:r>
    </w:p>
    <w:p>
      <w:r>
        <w:br w:type="page"/>
      </w:r>
    </w:p>
    <w:bookmarkEnd w:id="20"/>
    <w:bookmarkStart w:id="27" w:name="tables-figures"/>
    <w:p>
      <w:pPr>
        <w:pStyle w:val="Heading1"/>
      </w:pPr>
      <w:r>
        <w:t xml:space="preserve">Tables &amp; Figures</w:t>
      </w:r>
    </w:p>
    <w:p>
      <w:pPr>
        <w:pStyle w:val="FirstParagraph"/>
      </w:pPr>
      <w:r>
        <w:t xml:space="preserve">Table 1. Model outputs coefficients for testing wither sex, body mass, incubation temperature, resource, or the interaction between resource and temperature had an effect on 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 </w:t>
      </w:r>
      <w:r>
        <w:t xml:space="preserve">or 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in hatchling</w:t>
      </w:r>
      <w:r>
        <w:t xml:space="preserve"> </w:t>
      </w:r>
      <w:r>
        <w:rPr>
          <w:iCs/>
          <w:i/>
        </w:rPr>
        <w:t xml:space="preserve">Lampropholis delicata</w:t>
      </w:r>
      <w:r>
        <w:t xml:space="preserve">. Est. value describes the estimated coefficient value and 95% CI describes the lower and upper bound of the 95% credible interval for each coefficient value. Intercept is the estimated mean of each thermal trait from the null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3774"/>
        <w:gridCol w:w="1266"/>
        <w:gridCol w:w="1254"/>
        <w:gridCol w:w="1328"/>
        <w:gridCol w:w="1120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Thermal Index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l-95%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u-95%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cantSplit/>
          <w:trHeight w:val="618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2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cantSplit/>
          <w:trHeight w:val="617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617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Incubation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cantSplit/>
          <w:trHeight w:val="61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cantSplit/>
          <w:trHeight w:val="617" w:hRule="auto"/>
        </w:trPr>
        body 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Incubation Temperature*Resource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cantSplit/>
          <w:trHeight w:val="618" w:hRule="auto"/>
        </w:trPr>
        body 7
        <w:tc>
          <w:tcPr>
            <w:vMerge w:val="restart"/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CTmax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43.04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42.56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43.51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7" w:hRule="auto"/>
        </w:trPr>
        body 8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616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615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Incubation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cantSplit/>
          <w:trHeight w:val="577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cantSplit/>
          <w:trHeight w:val="615" w:hRule="auto"/>
        </w:trPr>
        body12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Incubation Temperature*Resource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</w:tbl>
    <w:p>
      <w:r>
        <w:br w:type="page"/>
      </w:r>
    </w:p>
    <w:p>
      <w:pPr>
        <w:pStyle w:val="BodyText"/>
      </w:pPr>
      <w:r>
        <w:drawing>
          <wp:inline>
            <wp:extent cx="5943600" cy="334327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./Final.Figures/Figure1.pdf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1. Thermal indices across different incubation temperatures and resource treatments for hatchling</w:t>
      </w:r>
      <w:r>
        <w:t xml:space="preserve"> </w:t>
      </w:r>
      <w:r>
        <w:rPr>
          <w:iCs/>
          <w:i/>
        </w:rPr>
        <w:t xml:space="preserve">Lampropholis delicata</w:t>
      </w:r>
      <w:r>
        <w:t xml:space="preserve"> </w:t>
      </w:r>
      <w:r>
        <w:t xml:space="preserve">(n=10 per temperature and treatment). (A) Thermal preference (T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) in lizards incubated at 23 &amp; 28°C for each resource treatment (yolk ablation &amp; control). (B) Critical thermal maximum (CT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 in lizards incubated at 23 &amp; 28°C for each resource treatment. Bars above plots indicate pairwise comparisons of thermal indices between treatment temperature and the interaction between treatment temperature and resource treatment.</w:t>
      </w:r>
    </w:p>
    <w:p>
      <w:r>
        <w:br w:type="page"/>
      </w:r>
    </w:p>
    <w:p>
      <w:pPr>
        <w:pStyle w:val="BodyText"/>
      </w:pPr>
      <w:r>
        <w:drawing>
          <wp:inline>
            <wp:extent cx="5943600" cy="334327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Final.Figures/Figure2.pdf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2. Magnitude of the effect on developmental temperature on thermal indices (T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 </w:t>
      </w:r>
      <w:r>
        <w:t xml:space="preserve">&amp; 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 in reptiles (A) with respect to age class (B), latitude (C), and taxon (D). Mean meta-analytic estimates (circles) with their 95% confidence intervals (thicker error bars) and prediction intervals (thinner error bars). Individual data points (colored circles) from each study from meta-analysis are scaled by precision (inverse of standard error) and k is the number of effect sizes with number of species in brackets. ARR is acclimation response ratio. Graphs were constructed using the orchaRd package (Nakagawa et al., 2021; version 2.0).</w:t>
      </w:r>
    </w:p>
    <w:p>
      <w:r>
        <w:br w:type="page"/>
      </w:r>
    </w:p>
    <w:bookmarkEnd w:id="27"/>
    <w:bookmarkStart w:id="37" w:name="supplementary-tables"/>
    <w:p>
      <w:pPr>
        <w:pStyle w:val="Heading1"/>
      </w:pPr>
      <w:r>
        <w:t xml:space="preserve">Supplementary Tables</w:t>
      </w:r>
    </w:p>
    <w:p>
      <w:r>
        <w:br w:type="page"/>
      </w:r>
    </w:p>
    <w:p>
      <w:pPr>
        <w:pStyle w:val="FirstParagraph"/>
      </w:pPr>
      <w:r>
        <w:drawing>
          <wp:inline>
            <wp:extent cx="5943600" cy="334327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./Final.Figures/FigureS1.pdf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S1.XXXXXXXXXXXXXXXXXX</w:t>
      </w:r>
    </w:p>
    <w:p>
      <w:r>
        <w:br w:type="page"/>
      </w:r>
    </w:p>
    <w:p>
      <w:pPr>
        <w:pStyle w:val="BodyText"/>
      </w:pPr>
      <w:r>
        <w:drawing>
          <wp:inline>
            <wp:extent cx="5943600" cy="362188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./Final.Figures/FigureS2.pdf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1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S2. Magnitude of the effect on developmental temperature on thermal indices (T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 </w:t>
      </w:r>
      <w:r>
        <w:t xml:space="preserve">&amp; 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 in species. ARR is acclimation response ratio. Mean meta-analytic estimates (circles) with their 95% confidence intervals (thicker error bars) and prediction intervals (thinner error bars). Individual data points (colored circles) from each study from meta-analysis are scaled by precision (inverse of standard error) and k is the number of effect sizes with number of species in brackets. Graphs were constructed using the orchaRd package (Nakagawa et al., 2021; version 2.0).</w:t>
      </w:r>
    </w:p>
    <w:p>
      <w:r>
        <w:br w:type="page"/>
      </w:r>
    </w:p>
    <w:p>
      <w:pPr>
        <w:pStyle w:val="BodyText"/>
      </w:pPr>
      <w:r>
        <w:drawing>
          <wp:inline>
            <wp:extent cx="5943600" cy="372970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/Final.Figures/FigureS3.pdf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S3. Funnel plot of the meta-analytic residuals against precision (1/SE). Each point represents a pair-wise temperature comparison. There is no visually detectable asymmetry.</w:t>
      </w:r>
    </w:p>
    <w:bookmarkEnd w:id="37"/>
    <w:sectPr w:rsidR="00291A2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4A452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1D058C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4142E0D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BB68D2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FB2BED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B9634A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420FA1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9FAA19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2080CE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36C13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90EC8D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C1AE401"/>
    <w:multiLevelType w:val="multilevel"/>
    <w:tmpl w:val="329A93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3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232B69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232B69"/>
    <w:rPr>
      <w:rFonts w:ascii="Times New Roman" w:hAnsi="Times New Roman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23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df" /><Relationship Type="http://schemas.openxmlformats.org/officeDocument/2006/relationships/image" Id="rId24" Target="media/rId24.pdf" /><Relationship Type="http://schemas.openxmlformats.org/officeDocument/2006/relationships/image" Id="rId28" Target="media/rId28.pdf" /><Relationship Type="http://schemas.openxmlformats.org/officeDocument/2006/relationships/image" Id="rId31" Target="media/rId31.pdf" /><Relationship Type="http://schemas.openxmlformats.org/officeDocument/2006/relationships/image" Id="rId34" Target="media/rId34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Kristoffer Wild</dc:creator>
  <cp:keywords/>
  <dcterms:created xsi:type="dcterms:W3CDTF">2023-01-04T05:17:57Z</dcterms:created>
  <dcterms:modified xsi:type="dcterms:W3CDTF">2023-01-04T05:17:57Z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2023-01-04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