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  <Override PartName="/word/media/rId24.pdf" ContentType="application/pdf"/>
  <Override PartName="/word/media/rId28.pdf" ContentType="application/pdf"/>
  <Override PartName="/word/media/rId31.pdf" ContentType="application/pdf"/>
  <Override PartName="/word/media/rId34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2022-10-31</w:t>
      </w:r>
    </w:p>
    <w:bookmarkStart w:id="2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(a)Incubation temperature and resource allocation consequences on thermal preference and critical thermal maximum</w:t>
      </w:r>
    </w:p>
    <w:p>
      <w:pPr>
        <w:pStyle w:val="BodyText"/>
      </w:pPr>
      <w:r>
        <w:t xml:space="preserve">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mean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was 31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and ranged from 20.99–34.26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Mean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was 43.04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and ranged from 38.6–45.2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We did not detect any effect of incubation temperature, yolk treatment, sex, or body mass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(Figure 1A|B; Table 1). The WAIC model comparisons further support these findings, where our null model ranked as the most parsimonious over other model combinations for both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(Table S1)</w:t>
      </w:r>
    </w:p>
    <w:p>
      <w:pPr>
        <w:pStyle w:val="BodyText"/>
      </w:pPr>
      <w:r>
        <w:rPr>
          <w:iCs/>
          <w:i/>
        </w:rPr>
        <w:t xml:space="preserve">(b) Meta-analysis of early thermal effects on thermal physiology in reptiles</w:t>
      </w:r>
    </w:p>
    <w:p>
      <w:pPr>
        <w:pStyle w:val="BodyText"/>
      </w:pPr>
      <w:r>
        <w:t xml:space="preserve">Accounting for n = 69 measured effects measured across 13 reptile species, developmental temperatures did not influence thermal traits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reptiles overall (HPD: Fig. 2A). When investigating moderators, we found that thermal traits were not influenced across life stage or latitude (Fig. 2B|C). When analysing each reptilian taxonomic group separately, there was no variation in thermal traits for lizards, tortoise, tuataras, and turtles. However, there were a significant increase in thermal traits in snakes (Fig 2D). Heterogeneity in the data was high (</w:t>
      </w:r>
      <m:oMath>
        <m:sSubSup>
          <m:e>
            <m:r>
              <m:t>I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97.96%), with species effects (</w:t>
      </w:r>
      <m:oMath>
        <m:sSubSup>
          <m:e>
            <m:r>
              <m:t>I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86.74%) driving the majority of heterogeneity. Upon investigating species specific responses only</w:t>
      </w:r>
      <w:r>
        <w:t xml:space="preserve"> </w:t>
      </w:r>
      <w:r>
        <w:rPr>
          <w:iCs/>
          <w:i/>
        </w:rPr>
        <w:t xml:space="preserve">Chelydra serpentina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Nerodia sipedon</w:t>
      </w:r>
      <w:r>
        <w:t xml:space="preserve"> </w:t>
      </w:r>
      <w:r>
        <w:t xml:space="preserve">were the only species with significant thermal trait responses to incubation temperatures (Fig. S2). Under higher developmental temperatures, thermal traits in</w:t>
      </w:r>
      <w:r>
        <w:t xml:space="preserve"> </w:t>
      </w:r>
      <w:r>
        <w:rPr>
          <w:iCs/>
          <w:i/>
        </w:rPr>
        <w:t xml:space="preserve">C. serpentina</w:t>
      </w:r>
      <w:r>
        <w:t xml:space="preserve"> </w:t>
      </w:r>
      <w:r>
        <w:t xml:space="preserve">decline by 7% while thermal traits in</w:t>
      </w:r>
      <w:r>
        <w:t xml:space="preserve"> </w:t>
      </w:r>
      <w:r>
        <w:rPr>
          <w:iCs/>
          <w:i/>
        </w:rPr>
        <w:t xml:space="preserve">N. sipedon</w:t>
      </w:r>
      <w:r>
        <w:t xml:space="preserve"> </w:t>
      </w:r>
      <w:r>
        <w:t xml:space="preserve">increase by 20%. We found no evidence for publication bias (Fig S3;</w:t>
      </w:r>
      <w:r>
        <w:t xml:space="preserve"> </w:t>
      </w:r>
      <w:r>
        <w:rPr>
          <w:iCs/>
          <w:i/>
        </w:rPr>
        <w:t xml:space="preserve">for details see electronic supplementary materials</w:t>
      </w:r>
      <w:r>
        <w:t xml:space="preserve">).</w:t>
      </w:r>
    </w:p>
    <w:p>
      <w:r>
        <w:br w:type="page"/>
      </w:r>
    </w:p>
    <w:bookmarkEnd w:id="20"/>
    <w:bookmarkStart w:id="27" w:name="tables-figures"/>
    <w:p>
      <w:pPr>
        <w:pStyle w:val="Heading1"/>
      </w:pPr>
      <w:r>
        <w:t xml:space="preserve">Tables &amp; Figures</w:t>
      </w:r>
    </w:p>
    <w:p>
      <w:pPr>
        <w:pStyle w:val="FirstParagraph"/>
      </w:pPr>
      <w:r>
        <w:t xml:space="preserve">Table 1. Model outputs coefficients for testing wither sex, body mass, incubation temperature, resource, or the interaction between resource and temperature had an effect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in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. Est. value describes the estimated coefficient value and 95% CI describes the lower and upper bound of the 95% credible interval for each coefficient value. Intercept is the estimated mean of each thermal trait from the null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3774"/>
        <w:gridCol w:w="1266"/>
        <w:gridCol w:w="1254"/>
        <w:gridCol w:w="1328"/>
      </w:tblGrid>
      <w:tr>
        <w:trPr>
          <w:cantSplit/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u-95% CI</w:t>
            </w:r>
          </w:p>
        </w:tc>
      </w:tr>
      <w:tr>
        <w:trPr>
          <w:cantSplit/>
          <w:trHeight w:val="618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31.98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</w:tr>
      <w:tr>
        <w:trPr>
          <w:cantSplit/>
          <w:trHeight w:val="618" w:hRule="auto"/>
        </w:trPr>
        body 7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43.51</w:t>
            </w:r>
          </w:p>
        </w:tc>
      </w:tr>
      <w:tr>
        <w:trPr>
          <w:cantSplit/>
          <w:trHeight w:val="577" w:hRule="auto"/>
        </w:trPr>
        body 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616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615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Final.Figures/Figure1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Thermal indices across different incubation temperatures and resource treatments for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(n=10 per temperature and treatment). (A)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in lizards incubated at 23 &amp; 28°C for each resource treatment (yolk ablation &amp; control). (B)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lizards incubated at 23 &amp; 28°C for each resource treatment. Bars above plots indicate pairwise comparisons of thermal indices between treatment temperature and the interaction between treatment temperature and resource treatment.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Final.Figures/Figure2.pdf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Magnitude of the effect on developmental temperature on thermal indices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&amp;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reptiles (A) with respect to age class (B), latitude (C), and taxon (D). Mean meta-analytic estimates (circles) with their 95% confidence intervals (thicker error bars) and prediction intervals (thinner error bars). Individual data points (colored circles) from each study from meta-analysis are scaled by precision (inverse of standard error) and k is the number of effect sizes with number of species in brackets. ARR is acclimation response ratio. Graphs were constructed using the orchaRd package (Nakagawa et al., 2021; version 2.0).</w:t>
      </w:r>
    </w:p>
    <w:p>
      <w:r>
        <w:br w:type="page"/>
      </w:r>
    </w:p>
    <w:bookmarkEnd w:id="27"/>
    <w:bookmarkStart w:id="37" w:name="supplementary-tables"/>
    <w:p>
      <w:pPr>
        <w:pStyle w:val="Heading1"/>
      </w:pPr>
      <w:r>
        <w:t xml:space="preserve">Supplementary Tables</w:t>
      </w:r>
    </w:p>
    <w:p>
      <w:pPr>
        <w:pStyle w:val="FirstParagraph"/>
      </w:pPr>
      <w:r>
        <w:t xml:space="preserve">Table S1. S1. Loo criterion of BRMS model fit for each thermal metric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when accounting m (mass), r (resource), t (temperature), and rxt interaction in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. The expected log-wise predictive density is elpd_diff and se_diff is the standard error associated with the elpd.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159"/>
        <w:gridCol w:w="1242"/>
        <w:gridCol w:w="1059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Expression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se_diff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Tpref~1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Tpref~s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Tpref~m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Tpref~t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Tpref~r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Tpref~r*t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577" w:hRule="auto"/>
        </w:trPr>
        body 7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CTmax~1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CTmax~s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CTmax~m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57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CTmax~t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</w:tr>
      <w:tr>
        <w:trPr>
          <w:cantSplit/>
          <w:trHeight w:val="57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CTmax~r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</w:tr>
      <w:tr>
        <w:trPr>
          <w:cantSplit/>
          <w:trHeight w:val="577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CTmax~r*t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Final.Figures/FigureS1.pdf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S1.XXXXXXXXXXXXXXXXXX</w:t>
      </w:r>
    </w:p>
    <w:p>
      <w:r>
        <w:br w:type="page"/>
      </w:r>
    </w:p>
    <w:p>
      <w:pPr>
        <w:pStyle w:val="BodyText"/>
      </w:pPr>
      <w:r>
        <w:drawing>
          <wp:inline>
            <wp:extent cx="5943600" cy="32721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/Final.Figures/FigureS2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S2. Magnitude of the effect on developmental temperature on thermal indices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&amp;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species. ARR is acclimation response ratio. Mean meta-analytic estimates (circles) with their 95% confidence intervals (thicker error bars) and prediction intervals (thinner error bars). Individual data points (colored circles) from each study from meta-analysis are scaled by precision (inverse of standard error) and k is the number of effect sizes with number of species in brackets. Graphs were constructed using the orchaRd package (Nakagawa et al., 2021; version 2.0).</w:t>
      </w:r>
    </w:p>
    <w:p>
      <w:r>
        <w:br w:type="page"/>
      </w:r>
    </w:p>
    <w:p>
      <w:pPr>
        <w:pStyle w:val="BodyText"/>
      </w:pPr>
      <w:r>
        <w:drawing>
          <wp:inline>
            <wp:extent cx="5943600" cy="372970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Final.Figures/FigureS3.pdf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S3. Funnel plot of the meta-analytic residuals against precision (1/SE). Each point represents a pair-wise temperature comparison. There is no visually detectable asymmetry.</w:t>
      </w:r>
    </w:p>
    <w:bookmarkEnd w:id="37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Relationship Type="http://schemas.openxmlformats.org/officeDocument/2006/relationships/image" Id="rId24" Target="media/rId24.pdf" /><Relationship Type="http://schemas.openxmlformats.org/officeDocument/2006/relationships/image" Id="rId28" Target="media/rId28.pdf" /><Relationship Type="http://schemas.openxmlformats.org/officeDocument/2006/relationships/image" Id="rId31" Target="media/rId31.pdf" /><Relationship Type="http://schemas.openxmlformats.org/officeDocument/2006/relationships/image" Id="rId34" Target="media/rId34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Kristoffer Wild</dc:creator>
  <cp:keywords/>
  <dcterms:created xsi:type="dcterms:W3CDTF">2022-10-31T00:55:01Z</dcterms:created>
  <dcterms:modified xsi:type="dcterms:W3CDTF">2022-10-31T00:55:01Z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