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  <Override PartName="/word/media/rId23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Results_figures</w:t>
      </w:r>
    </w:p>
    <w:p>
      <w:pPr>
        <w:pStyle w:val="Author"/>
      </w:pPr>
      <w:r>
        <w:t xml:space="preserve">Kristoffer</w:t>
      </w:r>
      <w:r>
        <w:t xml:space="preserve"> </w:t>
      </w:r>
      <w:r>
        <w:t xml:space="preserve">Wild</w:t>
      </w:r>
    </w:p>
    <w:p>
      <w:pPr>
        <w:pStyle w:val="Date"/>
      </w:pPr>
      <w:r>
        <w:t xml:space="preserve">2023-07-21</w:t>
      </w:r>
    </w:p>
    <w:bookmarkStart w:id="26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rPr>
          <w:iCs/>
          <w:i/>
        </w:rPr>
        <w:t xml:space="preserve">3.1 | Results</w:t>
      </w:r>
    </w:p>
    <w:p>
      <w:pPr>
        <w:pStyle w:val="BodyText"/>
      </w:pPr>
      <w:r>
        <w:t xml:space="preserve">A total of 92 lizards were captured (females n= 38; males 54) during the 2014 and 2015 field seasons. The frequency of tick infections was highly sex-specific, with the frequency of tick infection being over 2 times higher in males (n = 20; 37%) than in females (n = 5; 13%). Females were therefore precluded from further statistical analysis because the difference in tick infections was significantly different between sex (x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9; df = 1; n = 92; p = 0.003). Infection rate for males ranged one to seven ticks per individual. There was a positive relationship between male body size, and the number of ticks (F</w:t>
      </w:r>
      <m:oMath>
        <m:sSub>
          <m:e>
            <m:r>
              <m:t>​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51</m:t>
            </m:r>
          </m:sub>
        </m:sSub>
      </m:oMath>
      <w:r>
        <w:t xml:space="preserve"> </w:t>
      </w:r>
      <w:r>
        <w:t xml:space="preserve">= 0.103, p = 0.045), where larger males had a higher probability of tick infection than smaller males (Fig. 1). Maximum sprint speed was significantly higher in uninfected lizards (LS mean = 2.741m/sec) in comparison to infected lizards (LS mean = 2.48m/sec; F</w:t>
      </w:r>
      <m:oMath>
        <m:sSub>
          <m:e>
            <m:r>
              <m:t>​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51</m:t>
            </m:r>
          </m:sub>
        </m:sSub>
      </m:oMath>
      <w:r>
        <w:t xml:space="preserve"> </w:t>
      </w:r>
      <w:r>
        <w:t xml:space="preserve">= 16.12; p = 0.016; Fig. 2a). Maximum 2-meter run speed was significantly higher in uninfected lizards (LS mean = 1.942m/sec) than in infected lizards (LS mean = 1.613m/sec; F</w:t>
      </w:r>
      <m:oMath>
        <m:sSub>
          <m:e>
            <m:r>
              <m:t>​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51</m:t>
            </m:r>
          </m:sub>
        </m:sSub>
      </m:oMath>
      <w:r>
        <w:t xml:space="preserve"> </w:t>
      </w:r>
      <w:r>
        <w:t xml:space="preserve">= 15.01; p = 0.003; Fig. 2b). There were no differences in body condition indices between uninfected and infected lizards (F</w:t>
      </w:r>
      <m:oMath>
        <m:sSub>
          <m:e>
            <m:r>
              <m:t>​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51</m:t>
            </m:r>
          </m:sub>
        </m:sSub>
      </m:oMath>
      <w:r>
        <w:t xml:space="preserve"> </w:t>
      </w:r>
      <w:r>
        <w:t xml:space="preserve">= 0.025; p = 0.875).</w:t>
      </w:r>
    </w:p>
    <w:p>
      <w:r>
        <w:br w:type="page"/>
      </w:r>
    </w:p>
    <w:p>
      <w:pPr>
        <w:pStyle w:val="BodyText"/>
      </w:pPr>
      <w:r>
        <w:drawing>
          <wp:inline>
            <wp:extent cx="5943600" cy="405443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_figures/Figure_1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1.</w:t>
      </w:r>
    </w:p>
    <w:p>
      <w:r>
        <w:br w:type="page"/>
      </w:r>
    </w:p>
    <w:p>
      <w:pPr>
        <w:pStyle w:val="BodyText"/>
      </w:pPr>
      <w:r>
        <w:drawing>
          <wp:inline>
            <wp:extent cx="5943600" cy="318284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_figures/Figure_2.pdf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 w:rsidR="00291A2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4A452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1D058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142E0D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BB68D2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FB2BED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B9634A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420FA1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9FAA19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2080C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36C13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90EC8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329A93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232B69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232B69"/>
    <w:rPr>
      <w:rFonts w:ascii="Times New Roman" w:hAnsi="Times New Roman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23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image" Id="rId23" Target="media/rId23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Results_figures</dc:title>
  <dc:creator>Kristoffer Wild</dc:creator>
  <cp:keywords/>
  <dcterms:created xsi:type="dcterms:W3CDTF">2023-07-21T02:00:35Z</dcterms:created>
  <dcterms:modified xsi:type="dcterms:W3CDTF">2023-07-21T02:00:35Z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