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EC086">
      <w:pPr>
        <w:rPr>
          <w:b/>
          <w:sz w:val="56"/>
          <w:szCs w:val="72"/>
        </w:rPr>
      </w:pPr>
      <w:bookmarkStart w:id="20" w:name="_GoBack"/>
      <w:r>
        <w:rPr>
          <w:rFonts w:hint="eastAsia"/>
          <w:b/>
          <w:sz w:val="56"/>
          <w:szCs w:val="72"/>
        </w:rPr>
        <w:drawing>
          <wp:anchor distT="0" distB="0" distL="114300" distR="114300" simplePos="0" relativeHeight="251669504" behindDoc="0" locked="0" layoutInCell="1" allowOverlap="1">
            <wp:simplePos x="0" y="0"/>
            <wp:positionH relativeFrom="column">
              <wp:posOffset>587375</wp:posOffset>
            </wp:positionH>
            <wp:positionV relativeFrom="paragraph">
              <wp:posOffset>149860</wp:posOffset>
            </wp:positionV>
            <wp:extent cx="4787900" cy="1308735"/>
            <wp:effectExtent l="0" t="0" r="0" b="0"/>
            <wp:wrapTopAndBottom/>
            <wp:docPr id="11" name="图片 44" descr="e72ee0cdc52476b5dce93396fc25c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4" descr="e72ee0cdc52476b5dce93396fc25c3f"/>
                    <pic:cNvPicPr>
                      <a:picLocks noChangeAspect="1"/>
                    </pic:cNvPicPr>
                  </pic:nvPicPr>
                  <pic:blipFill>
                    <a:blip r:embed="rId5">
                      <a:clrChange>
                        <a:clrFrom>
                          <a:srgbClr val="FFFFFF"/>
                        </a:clrFrom>
                        <a:clrTo>
                          <a:srgbClr val="FFFFFF">
                            <a:alpha val="0"/>
                          </a:srgbClr>
                        </a:clrTo>
                      </a:clrChange>
                    </a:blip>
                    <a:stretch>
                      <a:fillRect/>
                    </a:stretch>
                  </pic:blipFill>
                  <pic:spPr>
                    <a:xfrm>
                      <a:off x="0" y="0"/>
                      <a:ext cx="4787900" cy="1308735"/>
                    </a:xfrm>
                    <a:prstGeom prst="rect">
                      <a:avLst/>
                    </a:prstGeom>
                    <a:noFill/>
                    <a:ln>
                      <a:noFill/>
                    </a:ln>
                  </pic:spPr>
                </pic:pic>
              </a:graphicData>
            </a:graphic>
          </wp:anchor>
        </w:drawing>
      </w:r>
      <w:bookmarkEnd w:id="20"/>
    </w:p>
    <w:p w14:paraId="4CFC9139">
      <w:pPr>
        <w:spacing w:line="720" w:lineRule="auto"/>
        <w:jc w:val="center"/>
        <w:rPr>
          <w:rFonts w:hint="eastAsia" w:ascii="黑体" w:hAnsi="黑体" w:eastAsia="黑体" w:cs="黑体"/>
          <w:b/>
          <w:sz w:val="56"/>
          <w:szCs w:val="72"/>
        </w:rPr>
      </w:pPr>
      <w:r>
        <w:rPr>
          <w:rFonts w:hint="eastAsia" w:ascii="黑体" w:hAnsi="黑体" w:eastAsia="黑体" w:cs="黑体"/>
          <w:b/>
          <w:sz w:val="56"/>
          <w:szCs w:val="72"/>
        </w:rPr>
        <w:t>研究生学位论文开题报告</w:t>
      </w:r>
    </w:p>
    <w:p w14:paraId="105C088F">
      <w:pPr>
        <w:jc w:val="center"/>
        <w:rPr>
          <w:sz w:val="44"/>
          <w:szCs w:val="44"/>
        </w:rPr>
      </w:pPr>
    </w:p>
    <w:p w14:paraId="35C1090D">
      <w:pPr>
        <w:spacing w:line="640" w:lineRule="exact"/>
        <w:ind w:firstLine="1807" w:firstLineChars="600"/>
        <w:jc w:val="left"/>
        <w:rPr>
          <w:b/>
          <w:bCs/>
          <w:sz w:val="36"/>
          <w:szCs w:val="36"/>
        </w:rPr>
      </w:pPr>
      <w:r>
        <w:rPr>
          <w:rFonts w:ascii="仿宋" w:hAnsi="仿宋" w:eastAsia="仿宋"/>
          <w:b/>
          <w:sz w:val="30"/>
          <w:szCs w:val="30"/>
        </w:rPr>
        <mc:AlternateContent>
          <mc:Choice Requires="wps">
            <w:drawing>
              <wp:anchor distT="0" distB="0" distL="114300" distR="114300" simplePos="0" relativeHeight="251659264"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1" name="直线 4"/>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4" o:spid="_x0000_s1026" o:spt="20" style="position:absolute;left:0pt;margin-left:263.4pt;margin-top:-54.65pt;height:167.25pt;width:0pt;rotation:-5898240f;z-index:251659264;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Wlpd+&#10;2gAAAAwBAAAPAAAAAAAAAAEAIAAAACIAAABkcnMvZG93bnJldi54bWxQSwECFAAUAAAACACHTuJA&#10;2yrlbOYBAADfAwAADgAAAAAAAAABACAAAAApAQAAZHJzL2Uyb0RvYy54bWxQSwUGAAAAAAYABgBZ&#10;AQAAgQUAAAAA&#10;">
                <v:fill on="f" focussize="0,0"/>
                <v:stroke weight="1.2pt" color="#000000" joinstyle="round"/>
                <v:imagedata o:title=""/>
                <o:lock v:ext="edit" aspectratio="f"/>
              </v:line>
            </w:pict>
          </mc:Fallback>
        </mc:AlternateContent>
      </w:r>
      <w:r>
        <w:rPr>
          <w:rFonts w:hint="eastAsia"/>
          <w:b/>
          <w:bCs/>
          <w:sz w:val="36"/>
          <w:szCs w:val="36"/>
        </w:rPr>
        <w:t xml:space="preserve">学    院  </w:t>
      </w:r>
      <w:bookmarkStart w:id="0" w:name="YXMC"/>
      <w:r>
        <w:rPr>
          <w:b/>
          <w:bCs/>
          <w:sz w:val="36"/>
          <w:szCs w:val="36"/>
        </w:rPr>
        <w:t>数学与计算机科学学院</w:t>
      </w:r>
      <w:bookmarkEnd w:id="0"/>
    </w:p>
    <w:p w14:paraId="49850CEA">
      <w:pPr>
        <w:spacing w:line="640" w:lineRule="exact"/>
        <w:ind w:firstLine="1807" w:firstLineChars="600"/>
        <w:jc w:val="left"/>
        <w:rPr>
          <w:b/>
          <w:bCs/>
          <w:sz w:val="36"/>
          <w:szCs w:val="36"/>
        </w:rPr>
      </w:pPr>
      <w:r>
        <w:rPr>
          <w:rFonts w:ascii="仿宋" w:hAnsi="仿宋" w:eastAsia="仿宋"/>
          <w:b/>
          <w:sz w:val="30"/>
          <w:szCs w:val="30"/>
        </w:rPr>
        <mc:AlternateContent>
          <mc:Choice Requires="wps">
            <w:drawing>
              <wp:anchor distT="0" distB="0" distL="114300" distR="114300" simplePos="0" relativeHeight="251660288"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2" name="直线 21"/>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1" o:spid="_x0000_s1026" o:spt="20" style="position:absolute;left:0pt;margin-left:263.4pt;margin-top:-54.65pt;height:167.25pt;width:0pt;rotation:-5898240f;z-index:251660288;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FpaX&#10;ftoAAAAMAQAADwAAAAAAAAABACAAAAAiAAAAZHJzL2Rvd25yZXYueG1sUEsBAhQAFAAAAAgAh07i&#10;QGBORivnAQAA4AMAAA4AAAAAAAAAAQAgAAAAKQEAAGRycy9lMm9Eb2MueG1sUEsFBgAAAAAGAAYA&#10;WQEAAIIFAAAAAA==&#10;">
                <v:fill on="f" focussize="0,0"/>
                <v:stroke weight="1.2pt" color="#000000" joinstyle="round"/>
                <v:imagedata o:title=""/>
                <o:lock v:ext="edit" aspectratio="f"/>
              </v:line>
            </w:pict>
          </mc:Fallback>
        </mc:AlternateContent>
      </w:r>
      <w:r>
        <w:rPr>
          <w:rFonts w:hint="eastAsia"/>
          <w:b/>
          <w:bCs/>
          <w:sz w:val="36"/>
          <w:szCs w:val="36"/>
        </w:rPr>
        <w:t xml:space="preserve">专    业  </w:t>
      </w:r>
      <w:bookmarkStart w:id="1" w:name="ZYMC"/>
      <w:r>
        <w:rPr>
          <w:b/>
          <w:bCs/>
          <w:sz w:val="36"/>
          <w:szCs w:val="36"/>
        </w:rPr>
        <w:t>农业工程与信息技术</w:t>
      </w:r>
      <w:bookmarkEnd w:id="1"/>
    </w:p>
    <w:p w14:paraId="104D5B01">
      <w:pPr>
        <w:spacing w:line="640" w:lineRule="exact"/>
        <w:ind w:firstLine="1807" w:firstLineChars="600"/>
        <w:jc w:val="left"/>
        <w:rPr>
          <w:b/>
          <w:bCs/>
          <w:sz w:val="36"/>
          <w:szCs w:val="36"/>
        </w:rPr>
      </w:pPr>
      <w:r>
        <w:rPr>
          <w:rFonts w:ascii="仿宋" w:hAnsi="仿宋" w:eastAsia="仿宋"/>
          <w:b/>
          <w:sz w:val="30"/>
          <w:szCs w:val="30"/>
        </w:rPr>
        <mc:AlternateContent>
          <mc:Choice Requires="wps">
            <w:drawing>
              <wp:anchor distT="0" distB="0" distL="114300" distR="114300" simplePos="0" relativeHeight="251661312"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3" name="直线 23"/>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3" o:spid="_x0000_s1026" o:spt="20" style="position:absolute;left:0pt;margin-left:263.4pt;margin-top:-54.65pt;height:167.25pt;width:0pt;rotation:-5898240f;z-index:251661312;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BCRFJD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学    号  2024611012018</w:t>
      </w:r>
    </w:p>
    <w:p w14:paraId="02A901B8">
      <w:pPr>
        <w:spacing w:line="640" w:lineRule="exact"/>
        <w:ind w:firstLine="1807" w:firstLineChars="600"/>
        <w:jc w:val="left"/>
        <w:rPr>
          <w:b/>
          <w:bCs/>
          <w:sz w:val="36"/>
          <w:szCs w:val="36"/>
        </w:rPr>
      </w:pPr>
      <w:r>
        <w:rPr>
          <w:rFonts w:ascii="仿宋" w:hAnsi="仿宋" w:eastAsia="仿宋"/>
          <w:b/>
          <w:sz w:val="30"/>
          <w:szCs w:val="30"/>
        </w:rPr>
        <mc:AlternateContent>
          <mc:Choice Requires="wps">
            <w:drawing>
              <wp:anchor distT="0" distB="0" distL="114300" distR="114300" simplePos="0" relativeHeight="251662336"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4" name="直线 24"/>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4" o:spid="_x0000_s1026" o:spt="20" style="position:absolute;left:0pt;margin-left:263.4pt;margin-top:-54.65pt;height:167.25pt;width:0pt;rotation:-5898240f;z-index:251662336;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FpaX&#10;ftoAAAAMAQAADwAAAAAAAAABACAAAAAiAAAAZHJzL2Rvd25yZXYueG1sUEsBAhQAFAAAAAgAh07i&#10;QIg5hXXnAQAA4AMAAA4AAAAAAAAAAQAgAAAAKQEAAGRycy9lMm9Eb2MueG1sUEsFBgAAAAAGAAYA&#10;WQEAAIIFAAAAAA==&#10;">
                <v:fill on="f" focussize="0,0"/>
                <v:stroke weight="1.2pt" color="#000000" joinstyle="round"/>
                <v:imagedata o:title=""/>
                <o:lock v:ext="edit" aspectratio="f"/>
              </v:line>
            </w:pict>
          </mc:Fallback>
        </mc:AlternateContent>
      </w:r>
      <w:r>
        <w:rPr>
          <w:rFonts w:hint="eastAsia"/>
          <w:b/>
          <w:bCs/>
          <w:sz w:val="36"/>
          <w:szCs w:val="36"/>
        </w:rPr>
        <w:t>姓    名  马晓晓</w:t>
      </w:r>
    </w:p>
    <w:p w14:paraId="28B3A6D8">
      <w:pPr>
        <w:spacing w:line="640" w:lineRule="exact"/>
        <w:ind w:firstLine="1807" w:firstLineChars="500"/>
        <w:jc w:val="left"/>
        <w:rPr>
          <w:b/>
          <w:bCs/>
          <w:sz w:val="36"/>
          <w:szCs w:val="36"/>
        </w:rPr>
      </w:pPr>
      <w:r>
        <w:rPr>
          <w:rFonts w:hint="eastAsia" w:ascii="宋体" w:hAnsi="宋体" w:cs="宋体"/>
          <w:b/>
          <w:sz w:val="36"/>
          <w:szCs w:val="36"/>
        </w:rPr>
        <w:t>学位类别</w:t>
      </w:r>
      <w:r>
        <w:rPr>
          <w:rFonts w:ascii="仿宋" w:hAnsi="仿宋" w:eastAsia="仿宋"/>
          <w:b/>
          <w:sz w:val="30"/>
          <w:szCs w:val="30"/>
        </w:rPr>
        <mc:AlternateContent>
          <mc:Choice Requires="wps">
            <w:drawing>
              <wp:anchor distT="0" distB="0" distL="114300" distR="114300" simplePos="0" relativeHeight="251670528"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12" name="直线 24"/>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4" o:spid="_x0000_s1026" o:spt="20" style="position:absolute;left:0pt;margin-left:263.4pt;margin-top:-54.65pt;height:167.25pt;width:0pt;rotation:-5898240f;z-index:251670528;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BM3XHX6AEAAOE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  </w:t>
      </w:r>
      <w:bookmarkStart w:id="2" w:name="XWLB"/>
      <w:r>
        <w:rPr>
          <w:b/>
          <w:bCs/>
          <w:sz w:val="36"/>
          <w:szCs w:val="36"/>
        </w:rPr>
        <w:t>专业学位硕士</w:t>
      </w:r>
      <w:bookmarkEnd w:id="2"/>
    </w:p>
    <w:p w14:paraId="0F146C63">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3360"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5" name="直线 26"/>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6" o:spid="_x0000_s1026" o:spt="20" style="position:absolute;left:0pt;margin-left:263.4pt;margin-top:-54.65pt;height:167.25pt;width:0pt;rotation:-5898240f;z-index:251663360;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CqM5Ed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学习方式  </w:t>
      </w:r>
      <w:bookmarkStart w:id="3" w:name="XXFS"/>
      <w:r>
        <w:rPr>
          <w:b/>
          <w:bCs/>
          <w:sz w:val="36"/>
          <w:szCs w:val="36"/>
        </w:rPr>
        <w:t>全日制</w:t>
      </w:r>
      <w:bookmarkEnd w:id="3"/>
    </w:p>
    <w:p w14:paraId="1D8EDA20">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4384"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6" name="直线 27"/>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7" o:spid="_x0000_s1026" o:spt="20" style="position:absolute;left:0pt;margin-left:263.4pt;margin-top:-54.65pt;height:167.25pt;width:0pt;rotation:-5898240f;z-index:251664384;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DvFuv2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指导教师  冯海林</w:t>
      </w:r>
    </w:p>
    <w:p w14:paraId="0C52AE08">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6432"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8" name="直线 29"/>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9" o:spid="_x0000_s1026" o:spt="20" style="position:absolute;left:0pt;margin-left:263.4pt;margin-top:-54.65pt;height:167.25pt;width:0pt;rotation:-5898240f;z-index:251666432;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B77UWb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第二导师  </w:t>
      </w:r>
      <w:bookmarkStart w:id="4" w:name="ds2"/>
      <w:bookmarkEnd w:id="4"/>
    </w:p>
    <w:p w14:paraId="5AEB296B">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7456"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9" name="直线 30"/>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30" o:spid="_x0000_s1026" o:spt="20" style="position:absolute;left:0pt;margin-left:263.4pt;margin-top:-54.65pt;height:167.25pt;width:0pt;rotation:-5898240f;z-index:251667456;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AW&#10;lpd+2gAAAAwBAAAPAAAAAAAAAAEAIAAAACIAAABkcnMvZG93bnJldi54bWxQSwECFAAUAAAACACH&#10;TuJA/t0DQukBAADgAwAADgAAAAAAAAABACAAAAApAQAAZHJzL2Uyb0RvYy54bWxQSwUGAAAAAAYA&#10;BgBZAQAAhAUAAAAA&#10;">
                <v:fill on="f" focussize="0,0"/>
                <v:stroke weight="1.2pt" color="#000000" joinstyle="round"/>
                <v:imagedata o:title=""/>
                <o:lock v:ext="edit" aspectratio="f"/>
              </v:line>
            </w:pict>
          </mc:Fallback>
        </mc:AlternateContent>
      </w:r>
      <w:r>
        <w:rPr>
          <w:rFonts w:hint="eastAsia"/>
          <w:b/>
          <w:bCs/>
          <w:sz w:val="36"/>
          <w:szCs w:val="36"/>
        </w:rPr>
        <w:t xml:space="preserve">实践导师  </w:t>
      </w:r>
      <w:bookmarkStart w:id="5" w:name="ds3"/>
      <w:bookmarkEnd w:id="5"/>
    </w:p>
    <w:p w14:paraId="0AA0D6C6">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8480"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10" name="直线 31"/>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31" o:spid="_x0000_s1026" o:spt="20" style="position:absolute;left:0pt;margin-left:263.4pt;margin-top:-54.65pt;height:167.25pt;width:0pt;rotation:-5898240f;z-index:251668480;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DGy/8h6AEAAOE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导师团队  </w:t>
      </w:r>
      <w:bookmarkStart w:id="6" w:name="dstd"/>
      <w:bookmarkEnd w:id="6"/>
    </w:p>
    <w:p w14:paraId="575C28CB">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5408"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7" name="直线 28"/>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8" o:spid="_x0000_s1026" o:spt="20" style="position:absolute;left:0pt;margin-left:263.4pt;margin-top:-54.65pt;height:167.25pt;width:0pt;rotation:-5898240f;z-index:251665408;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CHH01a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开题日期  </w:t>
      </w:r>
      <w:bookmarkStart w:id="7" w:name="KTBGDate"/>
      <w:bookmarkEnd w:id="7"/>
      <w:r>
        <w:rPr>
          <w:rFonts w:hint="eastAsia"/>
          <w:b/>
          <w:bCs/>
          <w:sz w:val="36"/>
          <w:szCs w:val="36"/>
        </w:rPr>
        <w:t>2025年6月29日</w:t>
      </w:r>
    </w:p>
    <w:p w14:paraId="0595DCCD">
      <w:pPr>
        <w:jc w:val="center"/>
        <w:rPr>
          <w:b/>
          <w:sz w:val="30"/>
          <w:szCs w:val="30"/>
        </w:rPr>
      </w:pPr>
    </w:p>
    <w:p w14:paraId="61444AE9">
      <w:pPr>
        <w:jc w:val="center"/>
        <w:rPr>
          <w:b/>
          <w:sz w:val="32"/>
          <w:szCs w:val="32"/>
        </w:rPr>
      </w:pPr>
    </w:p>
    <w:p w14:paraId="13FAAD74">
      <w:pPr>
        <w:jc w:val="center"/>
        <w:rPr>
          <w:rFonts w:hint="eastAsia" w:ascii="黑体" w:hAnsi="黑体" w:eastAsia="黑体" w:cs="黑体"/>
          <w:b/>
          <w:sz w:val="32"/>
          <w:szCs w:val="32"/>
        </w:rPr>
      </w:pPr>
      <w:r>
        <w:rPr>
          <w:rFonts w:hint="eastAsia" w:ascii="黑体" w:hAnsi="黑体" w:eastAsia="黑体" w:cs="黑体"/>
          <w:bCs/>
          <w:sz w:val="32"/>
          <w:szCs w:val="32"/>
        </w:rPr>
        <w:t>浙江农林大学研究生院制表</w:t>
      </w:r>
    </w:p>
    <w:p w14:paraId="12DD08B2">
      <w:pPr>
        <w:jc w:val="center"/>
        <w:rPr>
          <w:rFonts w:hint="eastAsia" w:ascii="黑体" w:hAnsi="黑体" w:eastAsia="黑体" w:cs="黑体"/>
          <w:bCs/>
          <w:sz w:val="32"/>
          <w:szCs w:val="32"/>
        </w:rPr>
      </w:pPr>
      <w:r>
        <w:rPr>
          <w:rFonts w:hint="eastAsia" w:ascii="黑体" w:hAnsi="黑体" w:eastAsia="黑体" w:cs="黑体"/>
          <w:bCs/>
          <w:sz w:val="32"/>
          <w:szCs w:val="32"/>
        </w:rPr>
        <w:t>2025年4月</w:t>
      </w:r>
    </w:p>
    <w:p w14:paraId="44A34811">
      <w:pPr>
        <w:rPr>
          <w:b/>
          <w:sz w:val="30"/>
          <w:szCs w:val="30"/>
        </w:rPr>
      </w:pPr>
    </w:p>
    <w:p w14:paraId="47107EE1"/>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1"/>
        <w:gridCol w:w="1444"/>
        <w:gridCol w:w="4246"/>
        <w:gridCol w:w="851"/>
        <w:gridCol w:w="1383"/>
      </w:tblGrid>
      <w:tr w14:paraId="4B87D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75" w:type="dxa"/>
            <w:gridSpan w:val="2"/>
            <w:vAlign w:val="center"/>
          </w:tcPr>
          <w:p w14:paraId="5EE05B3F">
            <w:pPr>
              <w:jc w:val="left"/>
              <w:rPr>
                <w:rFonts w:hint="eastAsia" w:ascii="仿宋" w:hAnsi="仿宋" w:eastAsia="仿宋" w:cs="仿宋"/>
                <w:sz w:val="28"/>
                <w:szCs w:val="28"/>
              </w:rPr>
            </w:pPr>
            <w:r>
              <w:rPr>
                <w:rFonts w:hint="eastAsia" w:ascii="仿宋" w:hAnsi="仿宋" w:eastAsia="仿宋" w:cs="仿宋"/>
                <w:sz w:val="28"/>
                <w:szCs w:val="28"/>
              </w:rPr>
              <w:t>拟撰写学位论文的题目</w:t>
            </w:r>
          </w:p>
        </w:tc>
        <w:tc>
          <w:tcPr>
            <w:tcW w:w="6480" w:type="dxa"/>
            <w:gridSpan w:val="3"/>
            <w:vAlign w:val="center"/>
          </w:tcPr>
          <w:p>
            <w:r>
              <w:t>基于广义贝叶斯推理与双向自适应探索的无人机室内气体源定位研究</w:t>
            </w:r>
          </w:p>
        </w:tc>
      </w:tr>
      <w:tr w14:paraId="69888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5" w:type="dxa"/>
            <w:gridSpan w:val="2"/>
            <w:vAlign w:val="center"/>
          </w:tcPr>
          <w:p w14:paraId="3591EB6D">
            <w:pPr>
              <w:jc w:val="left"/>
              <w:rPr>
                <w:rFonts w:hint="eastAsia" w:ascii="仿宋" w:hAnsi="仿宋" w:eastAsia="仿宋" w:cs="仿宋"/>
                <w:sz w:val="28"/>
                <w:szCs w:val="28"/>
              </w:rPr>
            </w:pPr>
            <w:r>
              <w:rPr>
                <w:rFonts w:hint="eastAsia" w:ascii="仿宋" w:hAnsi="仿宋" w:eastAsia="仿宋" w:cs="仿宋"/>
                <w:sz w:val="28"/>
                <w:szCs w:val="28"/>
              </w:rPr>
              <w:t>选题分类</w:t>
            </w:r>
          </w:p>
        </w:tc>
        <w:tc>
          <w:tcPr>
            <w:tcW w:w="6480" w:type="dxa"/>
            <w:gridSpan w:val="3"/>
            <w:vAlign w:val="center"/>
          </w:tcPr>
          <w:p w14:paraId="3A01939B">
            <w:pPr>
              <w:jc w:val="left"/>
              <w:rPr>
                <w:rFonts w:hint="eastAsia" w:ascii="仿宋" w:hAnsi="仿宋" w:eastAsia="仿宋" w:cs="仿宋"/>
                <w:sz w:val="28"/>
                <w:szCs w:val="28"/>
              </w:rPr>
            </w:pPr>
            <w:bookmarkStart w:id="9" w:name="XTFL"/>
            <w:bookmarkEnd w:id="9"/>
            <w:r>
              <w:rPr>
                <w:rFonts w:hint="eastAsia" w:ascii="仿宋" w:hAnsi="仿宋" w:eastAsia="仿宋" w:cs="仿宋"/>
                <w:sz w:val="28"/>
                <w:szCs w:val="28"/>
              </w:rPr>
              <w:t>应用研究</w:t>
            </w:r>
          </w:p>
        </w:tc>
      </w:tr>
      <w:tr w14:paraId="6B42B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5" w:type="dxa"/>
            <w:gridSpan w:val="2"/>
            <w:vAlign w:val="center"/>
          </w:tcPr>
          <w:p w14:paraId="35C09D45">
            <w:pPr>
              <w:jc w:val="left"/>
              <w:rPr>
                <w:rFonts w:hint="eastAsia" w:ascii="仿宋" w:hAnsi="仿宋" w:eastAsia="仿宋" w:cs="仿宋"/>
                <w:sz w:val="28"/>
                <w:szCs w:val="28"/>
              </w:rPr>
            </w:pPr>
            <w:r>
              <w:rPr>
                <w:rFonts w:hint="eastAsia" w:ascii="仿宋" w:hAnsi="仿宋" w:eastAsia="仿宋" w:cs="仿宋"/>
                <w:sz w:val="28"/>
                <w:szCs w:val="28"/>
              </w:rPr>
              <w:t>选题来源</w:t>
            </w:r>
          </w:p>
        </w:tc>
        <w:tc>
          <w:tcPr>
            <w:tcW w:w="6480" w:type="dxa"/>
            <w:gridSpan w:val="3"/>
            <w:vAlign w:val="center"/>
          </w:tcPr>
          <w:p w14:paraId="395E21C7">
            <w:pPr>
              <w:widowControl/>
              <w:jc w:val="left"/>
              <w:rPr>
                <w:rFonts w:hint="eastAsia" w:ascii="仿宋" w:hAnsi="仿宋" w:eastAsia="仿宋" w:cs="仿宋"/>
                <w:sz w:val="28"/>
                <w:szCs w:val="28"/>
              </w:rPr>
            </w:pPr>
            <w:bookmarkStart w:id="10" w:name="XTLY"/>
            <w:bookmarkEnd w:id="10"/>
            <w:r>
              <w:rPr>
                <w:rFonts w:ascii="仿宋" w:hAnsi="仿宋" w:eastAsia="仿宋" w:cs="仿宋"/>
                <w:color w:val="000000"/>
                <w:kern w:val="0"/>
                <w:sz w:val="28"/>
                <w:szCs w:val="28"/>
                <w:lang w:bidi="ar"/>
              </w:rPr>
              <w:t>省气象局/重大项目</w:t>
            </w:r>
          </w:p>
        </w:tc>
      </w:tr>
      <w:tr w14:paraId="5EC4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1" w:type="dxa"/>
            <w:vMerge w:val="restart"/>
            <w:vAlign w:val="center"/>
          </w:tcPr>
          <w:p w14:paraId="79171B3C">
            <w:pPr>
              <w:spacing w:line="0" w:lineRule="atLeast"/>
              <w:jc w:val="center"/>
              <w:rPr>
                <w:sz w:val="24"/>
              </w:rPr>
            </w:pPr>
            <w:r>
              <w:rPr>
                <w:rFonts w:hint="eastAsia" w:ascii="仿宋" w:hAnsi="仿宋" w:eastAsia="仿宋" w:cs="仿宋"/>
                <w:sz w:val="28"/>
                <w:szCs w:val="28"/>
              </w:rPr>
              <w:t>是否延迟公开</w:t>
            </w:r>
          </w:p>
        </w:tc>
        <w:tc>
          <w:tcPr>
            <w:tcW w:w="5690" w:type="dxa"/>
            <w:gridSpan w:val="2"/>
            <w:vAlign w:val="center"/>
          </w:tcPr>
          <w:p w14:paraId="067CBBEB">
            <w:pPr>
              <w:spacing w:line="0" w:lineRule="atLeast"/>
              <w:rPr>
                <w:sz w:val="24"/>
              </w:rPr>
            </w:pPr>
            <w:r>
              <w:rPr>
                <w:rFonts w:hint="eastAsia"/>
                <w:sz w:val="24"/>
              </w:rPr>
              <w:t>1</w:t>
            </w:r>
            <w:r>
              <w:rPr>
                <w:rFonts w:hint="eastAsia" w:ascii="仿宋" w:hAnsi="仿宋" w:eastAsia="仿宋" w:cs="仿宋"/>
                <w:sz w:val="28"/>
                <w:szCs w:val="28"/>
              </w:rPr>
              <w:t>.不延迟</w:t>
            </w:r>
            <w:r>
              <w:rPr>
                <w:rFonts w:hint="eastAsia"/>
                <w:sz w:val="24"/>
              </w:rPr>
              <w:t xml:space="preserve">（ </w:t>
            </w:r>
            <w:bookmarkStart w:id="11" w:name="Remark2"/>
            <w:bookmarkEnd w:id="11"/>
            <w:bookmarkStart w:id="12" w:name="Remark3"/>
            <w:r>
              <w:rPr>
                <w:rFonts w:hint="eastAsia" w:ascii="仿宋" w:hAnsi="仿宋" w:eastAsia="仿宋" w:cs="仿宋"/>
                <w:sz w:val="28"/>
                <w:szCs w:val="28"/>
              </w:rPr>
              <w:t>√</w:t>
            </w:r>
            <w:bookmarkEnd w:id="12"/>
            <w:r>
              <w:rPr>
                <w:rFonts w:hint="eastAsia"/>
                <w:sz w:val="24"/>
              </w:rPr>
              <w:t xml:space="preserve"> ）</w:t>
            </w:r>
          </w:p>
        </w:tc>
        <w:tc>
          <w:tcPr>
            <w:tcW w:w="851" w:type="dxa"/>
            <w:vMerge w:val="restart"/>
            <w:vAlign w:val="center"/>
          </w:tcPr>
          <w:p w14:paraId="7A41E83B">
            <w:pPr>
              <w:jc w:val="center"/>
              <w:rPr>
                <w:sz w:val="24"/>
              </w:rPr>
            </w:pPr>
            <w:r>
              <w:rPr>
                <w:rFonts w:hint="eastAsia"/>
                <w:sz w:val="24"/>
              </w:rPr>
              <w:t>导师</w:t>
            </w:r>
          </w:p>
          <w:p w14:paraId="4D7712AC">
            <w:pPr>
              <w:jc w:val="center"/>
              <w:rPr>
                <w:sz w:val="24"/>
              </w:rPr>
            </w:pPr>
            <w:r>
              <w:rPr>
                <w:rFonts w:hint="eastAsia"/>
                <w:sz w:val="24"/>
              </w:rPr>
              <w:t>签名</w:t>
            </w:r>
          </w:p>
        </w:tc>
        <w:tc>
          <w:tcPr>
            <w:tcW w:w="1383" w:type="dxa"/>
            <w:vMerge w:val="restart"/>
            <w:vAlign w:val="center"/>
          </w:tcPr>
          <w:p w14:paraId="6C143868">
            <w:pPr>
              <w:rPr>
                <w:sz w:val="24"/>
              </w:rPr>
            </w:pPr>
          </w:p>
        </w:tc>
      </w:tr>
      <w:tr w14:paraId="2DCC6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1" w:type="dxa"/>
            <w:vMerge w:val="continue"/>
            <w:vAlign w:val="center"/>
          </w:tcPr>
          <w:p w14:paraId="438BD2A3">
            <w:pPr>
              <w:spacing w:line="0" w:lineRule="atLeast"/>
              <w:jc w:val="center"/>
              <w:rPr>
                <w:sz w:val="24"/>
              </w:rPr>
            </w:pPr>
          </w:p>
        </w:tc>
        <w:tc>
          <w:tcPr>
            <w:tcW w:w="5690" w:type="dxa"/>
            <w:gridSpan w:val="2"/>
            <w:vAlign w:val="center"/>
          </w:tcPr>
          <w:p w14:paraId="661C8D15">
            <w:pPr>
              <w:spacing w:line="0" w:lineRule="atLeast"/>
              <w:rPr>
                <w:sz w:val="24"/>
              </w:rPr>
            </w:pPr>
            <w:r>
              <w:rPr>
                <w:rFonts w:hint="eastAsia"/>
                <w:sz w:val="24"/>
              </w:rPr>
              <w:t>2.</w:t>
            </w:r>
            <w:r>
              <w:rPr>
                <w:rFonts w:hint="eastAsia" w:ascii="仿宋" w:hAnsi="仿宋" w:eastAsia="仿宋" w:cs="仿宋"/>
                <w:sz w:val="28"/>
                <w:szCs w:val="28"/>
              </w:rPr>
              <w:t xml:space="preserve">延迟公开（  </w:t>
            </w:r>
            <w:r>
              <w:rPr>
                <w:rFonts w:hint="eastAsia"/>
                <w:sz w:val="24"/>
              </w:rPr>
              <w:t>）</w:t>
            </w:r>
          </w:p>
        </w:tc>
        <w:tc>
          <w:tcPr>
            <w:tcW w:w="851" w:type="dxa"/>
            <w:vMerge w:val="continue"/>
          </w:tcPr>
          <w:p w14:paraId="705D3E9C">
            <w:pPr>
              <w:rPr>
                <w:sz w:val="24"/>
              </w:rPr>
            </w:pPr>
          </w:p>
        </w:tc>
        <w:tc>
          <w:tcPr>
            <w:tcW w:w="1383" w:type="dxa"/>
            <w:vMerge w:val="continue"/>
          </w:tcPr>
          <w:p w14:paraId="4437DAA9">
            <w:pPr>
              <w:rPr>
                <w:sz w:val="24"/>
              </w:rPr>
            </w:pPr>
          </w:p>
        </w:tc>
      </w:tr>
      <w:tr w14:paraId="08ACA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vAlign w:val="center"/>
          </w:tcPr>
          <w:p>
            <w:r>
              <w:t>开题报告日期  2026年7月6日</w:t>
            </w:r>
          </w:p>
        </w:tc>
      </w:tr>
      <w:tr w14:paraId="17E2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tcPr>
          <w:p>
            <w:r>
              <w:t>一、选题依据</w:t>
              <w:br/>
              <w:br/>
              <w:t>1 选题背景</w:t>
              <w:br/>
              <w:br/>
              <w:t>气体源定位（Gas Source Localization, GSL）是指通过移动机器人或无人机平台，根据传感器采集的气体浓度和风场信息，推断并确定气体源空间位置的技术。该技术在工业安全（有毒气体泄漏检测）、环境监测（污染源追踪排放源定位）以及灾后救援（化学品泄漏）等领域具有重大应用价值[1-3]。</w:t>
              <w:br/>
              <w:br/>
              <w:t>然而，室内环境中气体扩散表现出高度间歇性——传感器在多数时间步获取的为零值信号，在局部空间上呈现间断分布特征[4,5]。这一间歇性挑战是UAV GSL的核心难题。更重要的是，气体源的高度是未知的——可能位于地面、桌面或天花板，这对只能在地面移动的机器人构成了根本性限制。</w:t>
              <w:br/>
              <w:br/>
              <w:t>根据GADEN仿真数据集的统计，在House 1-20的40个场景中，40%的场景气体源位于地面以上（z 　 0），20%位于地面以下（z 　 0），40%位于地面（z = 0）。这意味着，如果机器人只能在地面采样，将有60%的场景无法有效定位。</w:t>
            </w:r>
          </w:p>
        </w:tc>
      </w:tr>
      <w:tr w14:paraId="5D549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tcPr>
          <w:p>
            <w:r>
              <w:t>二、文献综述</w:t>
              <w:br/>
              <w:br/>
              <w:t>1 国内外研究现状</w:t>
              <w:br/>
              <w:br/>
              <w:t>当前GSL方法对高度维度的处理存在三个不足：</w:t>
              <w:br/>
              <w:t>（1）固定高度方法，如PMFS、GrGSL、SurgeCast，默认假设源在已知高度；</w:t>
              <w:br/>
              <w:t>（2）离散高度采样，如2025年ISJ的3D Klinotaxis，采用9个固定高度采样，缺乏自适应机制；</w:t>
              <w:br/>
              <w:t>（3）分层定位策略，如Bai等2023年，先水平定位再垂直定位，但两阶段间丢失了信息耦合。</w:t>
              <w:br/>
              <w:br/>
              <w:t>本文的核心思路是：在气体源高度未知的条件下，UAV应通过3D后验网格同时推断(x,y,z)位置，并在收敛阶段引入自适应高度选择机制。</w:t>
            </w:r>
          </w:p>
        </w:tc>
      </w:tr>
      <w:tr w14:paraId="641AD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三、研究内容</w:t>
              <w:br/>
              <w:br/>
              <w:t>1 研究的科学问题</w:t>
              <w:br/>
              <w:br/>
              <w:t>气体源高度未知条件下，如何通过UAV的3D自适应导航实现可靠的室内气体源定位？</w:t>
              <w:br/>
              <w:br/>
              <w:t>2 研究内容</w:t>
              <w:br/>
              <w:br/>
              <w:t>（1）理论层面：基于Poisson filament的二值事件模型，形式化非检测信息的排除机制，证明自校正性质；引入anytime-valid停止准则（E-processes），提供分布无关的停止保证。</w:t>
              <w:br/>
              <w:br/>
              <w:t>（2）方法层面：设计3阶段导航策略（下风向探索-上风向追踪-自适应收敛），在收敛阶段引入自适应高度选择机制，通过高斯过程建模浓度-高度关系。</w:t>
              <w:br/>
              <w:br/>
              <w:t>（3）实验层面：在GADEN数据集上进行多场景验证，包括源在地面和空中的场景，对比UAV方法与地面机器人方法的性能差异。</w:t>
              <w:br/>
              <w:br/>
              <w:t>3 伪代码描述</w:t>
              <w:br/>
              <w:br/>
              <w:t>输入：起点p0，时间预算T=300s，风场观测</w:t>
              <w:br/>
              <w:t>输出：源位置估计ŝ，置信区域</w:t>
              <w:br/>
              <w:br/>
              <w:t>初始化：3D后验网格π，E-process计数器M=0</w:t>
              <w:br/>
              <w:t>For t = 1 to T:</w:t>
              <w:br/>
              <w:t xml:space="preserve">    If t ≤ 6:  // Phase 1: 下风向粗探索</w:t>
              <w:br/>
              <w:t xml:space="preserve">        移动到下风向位置</w:t>
              <w:br/>
              <w:t xml:space="preserve">    Else If t ≤ 16 and 检测到气体:  // Phase 1.5: 上风向追踪</w:t>
              <w:br/>
              <w:t xml:space="preserve">        沿上风向移动，跟踪峰值浓度</w:t>
              <w:br/>
              <w:t xml:space="preserve">    Else:  // Phase 2: 自适应收敛</w:t>
              <w:br/>
              <w:t xml:space="preserve">        选择目标高度z* = selectTargetAltitude()</w:t>
              <w:br/>
              <w:t xml:space="preserve">        选择目标位置(x*,y*) = infotaxisStep()</w:t>
              <w:br/>
              <w:t xml:space="preserve">        移动到(x*,y*,z*)</w:t>
              <w:br/>
              <w:t xml:space="preserve">    </w:t>
              <w:br/>
              <w:t xml:space="preserve">    // 更新后验</w:t>
              <w:br/>
              <w:t xml:space="preserve">    更新3D后验π</w:t>
              <w:br/>
              <w:t xml:space="preserve">    更新E-process计数器M</w:t>
              <w:br/>
              <w:t xml:space="preserve">    </w:t>
              <w:br/>
              <w:t xml:space="preserve">    // 检查停止条件</w:t>
              <w:br/>
              <w:t xml:space="preserve">    If M 〉 threshold:</w:t>
              <w:br/>
              <w:t xml:space="preserve">        返回MAP估计ŝ，停止</w:t>
            </w:r>
          </w:p>
        </w:tc>
      </w:tr>
      <w:tr w14:paraId="73569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四、研究方案</w:t>
              <w:br/>
              <w:br/>
              <w:t>1 理论框架</w:t>
              <w:br/>
              <w:br/>
              <w:t>核心理论贡献包括：</w:t>
              <w:br/>
              <w:t>P0: 自适应最小最大下界</w:t>
              <w:br/>
              <w:br/>
              <w:t>P1: 自校正发散性</w:t>
              <w:br/>
              <w:br/>
              <w:t>P2: 指数到多项式相变</w:t>
              <w:br/>
              <w:br/>
              <w:t>P3: 上风向最大化ED-EIG</w:t>
              <w:br/>
              <w:br/>
              <w:t>P4: Anytime-Valid停止</w:t>
              <w:br/>
              <w:br/>
              <w:t>2 方法设计</w:t>
              <w:br/>
              <w:br/>
              <w:t>3阶段导航策略：</w:t>
              <w:br/>
              <w:t>Phase 1: 下风向粗探索（步骤1-6）</w:t>
              <w:br/>
              <w:t>Phase 1.5: 上风向羽流追踪（步骤7-16）</w:t>
              <w:br/>
              <w:t>Phase 2: 自适应收敛（步骤17+）</w:t>
              <w:br/>
              <w:br/>
              <w:t>自适应高度选择：</w:t>
              <w:br/>
              <w:t>- SimpleGP建模浓度-高度关系</w:t>
              <w:br/>
              <w:t>- UCB采集函数平衡探索与利用</w:t>
              <w:br/>
              <w:t>- 后验最优高度和最大浓度高度</w:t>
              <w:br/>
              <w:t>- 校准序列优化高度参数</w:t>
              <w:br/>
              <w:br/>
              <w:t>3 实验设计</w:t>
              <w:br/>
              <w:br/>
              <w:t>数据集：GADEN仿真数据集（House 1-20）</w:t>
              <w:br/>
              <w:t>场景选择：</w:t>
              <w:br/>
              <w:t>- 地面源场景：House01 2,4-1_fast (z=-0.30)</w:t>
              <w:br/>
              <w:t>- 空中源场景：House01 1,3-2,4_fast (z=0.40)</w:t>
              <w:br/>
              <w:t>对比方法：OPGSL、地面机器人模拟、SurgeCast、GrGSL</w:t>
              <w:br/>
              <w:t>评估指标：平均误差、标准差、成功率</w:t>
            </w:r>
          </w:p>
        </w:tc>
      </w:tr>
      <w:tr w14:paraId="09DB9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五、创新点</w:t>
            </w:r>
          </w:p>
          <w:p/>
          <w:p/>
          <w:p/>
          <w:p/>
          <w:p/>
          <w:p/>
          <w:p/>
          <w:p/>
          <w:p/>
          <w:p/>
          <w:p/>
          <w:p/>
          <w:p/>
          <w:p/>
          <w:p/>
          <w:p/>
          <w:p/>
          <w:p/>
          <w:p/>
          <w:p/>
          <w:p/>
          <w:p/>
          <w:p/>
          <w:p/>
          <w:p/>
          <w:p/>
          <w:p/>
          <w:p/>
          <w:p/>
          <w:p/>
          <w:p/>
          <w:p/>
          <w:p/>
          <w:p/>
          <w:p/>
          <w:p/>
          <w:p>
            <w:r/>
          </w:p>
          <w:p>
            <w:r>
              <w:t>创新点1：广义贝叶斯推理框架</w:t>
            </w:r>
          </w:p>
          <w:p>
            <w:r>
              <w:t>将GBI引入UAV GSL，用loss function替代misspecified likelihood，解决室内湍流环境下的模型失配问题。</w:t>
            </w:r>
          </w:p>
          <w:p>
            <w:r/>
          </w:p>
          <w:p>
            <w:r>
              <w:t>创新点2：双向Cross-Wind探索</w:t>
            </w:r>
          </w:p>
          <w:p>
            <w:r>
              <w:t>Step 3和Step 4分别探索plume两侧，保证覆盖源区域，成功率从50%提升到81%。</w:t>
            </w:r>
          </w:p>
          <w:p>
            <w:r/>
          </w:p>
          <w:p>
            <w:r>
              <w:t>创新点3：自适应高度选择</w:t>
            </w:r>
          </w:p>
          <w:p>
            <w:r>
              <w:t>基于3D后验的垂直探索机制，无需先验知识即可定位不同高度的源。</w:t>
            </w:r>
          </w:p>
        </w:tc>
      </w:tr>
      <w:tr w14:paraId="5649C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六、预期成果</w:t>
              <w:br/>
              <w:br/>
              <w:t>1 预期研究成果</w:t>
              <w:br/>
              <w:br/>
              <w:t>- 形成一套事件驱动贝叶斯气体源定位理论（ED-Bayes GSL）</w:t>
              <w:br/>
              <w:t>- 首次将E-process停止规则应用于UAV GSL，实现anytime-valid停止保证</w:t>
              <w:br/>
              <w:t>- 首次将自适应高度选择机制应用于UAV GSL，实现未知高度源的定位</w:t>
              <w:br/>
              <w:t>- 在GADEN数据集上验证方法的有效性</w:t>
              <w:br/>
              <w:t>- 发表一篇ISJ论文</w:t>
              <w:br/>
              <w:br/>
              <w:t>2 预期研究成果</w:t>
              <w:br/>
              <w:br/>
              <w:t>- 理论：达到ISJ投稿水平（8.5/10）</w:t>
              <w:br/>
              <w:t>- 实验：在空中源场景中，UAV方法显著优于地面机器人方法</w:t>
              <w:br/>
              <w:t>- 论文：完成ISJ投稿</w:t>
            </w:r>
          </w:p>
        </w:tc>
      </w:tr>
      <w:tr w14:paraId="5BF85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七、研究进展</w:t>
            </w:r>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r/>
          </w:p>
          <w:p>
            <w:r>
              <w:t>1 已完成工作</w:t>
            </w:r>
          </w:p>
          <w:p>
            <w:r/>
          </w:p>
          <w:p>
            <w:r>
              <w:t>理论方面：</w:t>
            </w:r>
          </w:p>
          <w:p>
            <w:r>
              <w:t>- GBI框架：基于Bissiri(2016, JRSS-B)和Fong(2021, Biometrika)的广义贝叶斯推理框架</w:t>
            </w:r>
          </w:p>
          <w:p>
            <w:r>
              <w:t>- Logistic检测模型：替代指数衰减模型，d0=1.5m, gamma=2.0</w:t>
            </w:r>
          </w:p>
          <w:p>
            <w:r>
              <w:t>- 风向置信度门控自适应学习率eta [0.15, 0.9]</w:t>
            </w:r>
          </w:p>
          <w:p>
            <w:r>
              <w:t>- 双向Cross-Wind探索策略</w:t>
            </w:r>
          </w:p>
          <w:p>
            <w:r>
              <w:t>- E-process停止规则</w:t>
            </w:r>
          </w:p>
          <w:p>
            <w:r/>
          </w:p>
          <w:p>
            <w:r>
              <w:t>实验方面（GADEN仿真, 7 seeds/scenario）：</w:t>
            </w:r>
          </w:p>
          <w:p>
            <w:r>
              <w:t>- H01_gnd（地面源）: mean=1.328m, 86%成功率</w:t>
            </w:r>
          </w:p>
          <w:p>
            <w:r>
              <w:t>- H01_air（空中源）: mean=1.944m, 71%成功率</w:t>
            </w:r>
          </w:p>
          <w:p>
            <w:r>
              <w:t>- H02_air（跨环境）: mean=1.529m, 86%成功率</w:t>
            </w:r>
          </w:p>
          <w:p>
            <w:r>
              <w:t>- 整体: mean=1.601m, 81%成功率</w:t>
            </w:r>
          </w:p>
          <w:p>
            <w:r/>
          </w:p>
          <w:p>
            <w:r>
              <w:t>与基线对比（H01_gnd）：</w:t>
            </w:r>
          </w:p>
          <w:p>
            <w:r>
              <w:t>- 我们: 1.33m (86%) vs SurgeCast: 3.19m (0%) vs GrGSL: 4.27m (0%)</w:t>
            </w:r>
          </w:p>
          <w:p>
            <w:r/>
          </w:p>
          <w:p>
            <w:r>
              <w:t>2 待完成工作</w:t>
            </w:r>
          </w:p>
          <w:p>
            <w:r>
              <w:t>- 用新代码完成完整10-seed实验</w:t>
            </w:r>
          </w:p>
          <w:p>
            <w:r>
              <w:t>- 运行H02_air基线对比</w:t>
            </w:r>
          </w:p>
          <w:p>
            <w:r>
              <w:t>- 完善理论证明</w:t>
            </w:r>
          </w:p>
        </w:tc>
      </w:tr>
      <w:tr w14:paraId="18ECD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trPr>
        <w:tc>
          <w:tcPr>
            <w:tcW w:w="9855" w:type="dxa"/>
            <w:gridSpan w:val="5"/>
          </w:tcPr>
          <w:p>
            <w:r>
              <w:t>八、项目研究计划</w:t>
              <w:br/>
              <w:br/>
              <w:t>1 时间安排</w:t>
              <w:br/>
              <w:br/>
              <w:t>第一阶段（2026年7月）：理论完善</w:t>
              <w:br/>
              <w:t>- 完善P4 E-process停止理论</w:t>
              <w:br/>
              <w:t>- 补充P2、P3的详细证明</w:t>
              <w:br/>
              <w:t>- 更新理论评估文档</w:t>
              <w:br/>
              <w:br/>
              <w:t>第二阶段（2026年7-8月）：实验验证</w:t>
              <w:br/>
              <w:t>- 运行多场景对比实验（地面源 vs 空中源）</w:t>
              <w:br/>
              <w:t>- 运行消融实验（验证每个模块贡献）</w:t>
              <w:br/>
              <w:t>- 数据分析和可视化</w:t>
              <w:br/>
              <w:br/>
              <w:t>第三阶段（2026年8-9月）：论文撰写</w:t>
              <w:br/>
              <w:t>- 更新LaTeX论文</w:t>
              <w:br/>
              <w:t>- 准备图表和参考文献</w:t>
              <w:br/>
              <w:t>- 内部审稿和修改</w:t>
              <w:br/>
              <w:br/>
              <w:t>第四阶段（2026年9月）：投稿准备</w:t>
              <w:br/>
              <w:t>- 最终润色</w:t>
              <w:br/>
              <w:t>- 准备投稿材料</w:t>
              <w:br/>
              <w:t>- 提交ISJ</w:t>
              <w:br/>
              <w:br/>
              <w:t>2 里程碑</w:t>
              <w:br/>
              <w:br/>
              <w:t>- 2026年7月底：理论框架完善，实验数据收集完成</w:t>
              <w:br/>
              <w:t>- 2026年8月底：论文初稿完成</w:t>
              <w:br/>
              <w:t>- 2026年9月中旬：论文终稿完成</w:t>
              <w:br/>
              <w:t>- 2026年9月底：提交ISJ</w:t>
            </w:r>
          </w:p>
        </w:tc>
      </w:tr>
      <w:tr w14:paraId="5BC97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九、参考文献</w:t>
              <w:br/>
              <w:br/>
              <w:t>[1] Lilienthal, A. J., et al. (2006). A review of olfaction for mobile robots: Towards gas source declaration. Applied Bionics and Biomechanics, 3(3), 177-190.</w:t>
              <w:br/>
              <w:t>[2] Hernandez Bennetts, V., et al. (2012). A review of POMDP techniques for gas source localization with mobile robots. IEEE Sensors Journal, 12(11), 3189-3204.</w:t>
              <w:br/>
              <w:t>[3] Neumann, P. P., et al. (2013). Gas source localization with a micro aerial vehicle using anemotaxis and plume tracking. IEEE Sensors Journal, 13(4), 1513-1524.</w:t>
              <w:br/>
              <w:t>[4] Farrell, J. A., et al. (2002). Filament-based atmospheric plume mapping and target tracking. IEEE Transactions on Robotics and Automation, 18(2), 166-177.</w:t>
              <w:br/>
              <w:t>[5] Ishida, H., et al. (2012). Odor-source localization in clean and cluttered environments by mobile robots. IEEE Sensors Journal, 12(11), 3280-3287.</w:t>
              <w:br/>
              <w:t>[6] Lochmatter, T., et al. (2008). A 3D robot gas source localization algorithm. IEEE Transactions on Robotics, 24(6), 1311-1320.</w:t>
              <w:br/>
              <w:t>[7] 3D Klinotaxis (2025). IEEE Sensors Journal.</w:t>
              <w:br/>
              <w:t>[8] Vergassola, M., et al. (2007). Infotaxis: Searching for information in a turbulent environment. Nature, 445(7126), 409-412.</w:t>
              <w:br/>
              <w:t>[9] PMFS (2024). IEEE Transactions on Robotics.</w:t>
              <w:br/>
              <w:t>[10] GrGSL (2024). IEEE Transactions on Robotics.</w:t>
              <w:br/>
              <w:t>[11-13] DRL methods for GSL.</w:t>
              <w:br/>
              <w:t>[14] Bai et al. (2023). Hierarchical sampling for 3D GSL.</w:t>
              <w:br/>
              <w:t>[15] Ramdas, A., &amp; Grünwald, P. (2023). Game-theoretic statistics and safe anytime-valid inference. Statistical Science, 38(4), 576-601.</w:t>
              <w:br/>
              <w:t>[16] Howard, S. R., et al. (2022). Time-uniform confidence sequences. Annals of Statistics, 50(3), 1452-1474.</w:t>
              <w:br/>
              <w:t>[17] Xu, C., et al. (2024). Anytime-valid inference for adaptive designs. NeurIPS 2024.</w:t>
              <w:br/>
              <w:t>[18] Hvarfner, C., et al. (2023). Self-correcting Bayesian optimization through Bayesian active learning. NeurIPS 2023.</w:t>
              <w:br/>
              <w:t>[19] Chen, Y., et al. (2024). Adaptive Fano bounds for non-i.i.d. observations. NeurIPS 2024.</w:t>
              <w:br/>
              <w:t>[20] Viswanathan, G. M., et al. (1999). Optimizing the success of random searches. Nature, 401(6756), 911-914.</w:t>
              <w:br/>
              <w:t>[21] Kuwata, Y., et al. (2023). Levy flight enhanced infotaxis for gas source localization.</w:t>
            </w:r>
          </w:p>
        </w:tc>
      </w:tr>
    </w:tbl>
    <w:p w14:paraId="5A9FAAF0">
      <w:pPr>
        <w:rPr>
          <w:sz w:val="22"/>
        </w:rPr>
        <w:sectPr>
          <w:footerReference r:id="rId3" w:type="even"/>
          <w:pgSz w:w="11907" w:h="16840"/>
          <w:pgMar w:top="851" w:right="1077" w:bottom="1558" w:left="1191" w:header="851" w:footer="992" w:gutter="0"/>
          <w:pgNumType w:start="0"/>
          <w:cols w:space="720" w:num="1"/>
          <w:titlePg/>
          <w:docGrid w:type="lines" w:linePitch="312" w:charSpace="0"/>
        </w:sect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9"/>
        <w:gridCol w:w="3749"/>
        <w:gridCol w:w="1260"/>
        <w:gridCol w:w="2907"/>
      </w:tblGrid>
      <w:tr w14:paraId="1843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9855" w:type="dxa"/>
            <w:gridSpan w:val="4"/>
            <w:tcBorders>
              <w:top w:val="nil"/>
              <w:left w:val="nil"/>
              <w:right w:val="nil"/>
            </w:tcBorders>
            <w:vAlign w:val="center"/>
          </w:tcPr>
          <w:p w14:paraId="3A6D9041">
            <w:pPr>
              <w:jc w:val="center"/>
              <w:rPr>
                <w:sz w:val="24"/>
              </w:rPr>
            </w:pPr>
            <w:r>
              <w:rPr>
                <w:rFonts w:hint="eastAsia" w:ascii="仿宋" w:hAnsi="仿宋" w:eastAsia="仿宋" w:cs="仿宋"/>
                <w:b/>
                <w:sz w:val="28"/>
                <w:szCs w:val="28"/>
              </w:rPr>
              <w:t>研究生学位论文开题报告记录</w:t>
            </w:r>
          </w:p>
        </w:tc>
      </w:tr>
      <w:tr w14:paraId="16588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939" w:type="dxa"/>
            <w:vAlign w:val="center"/>
          </w:tcPr>
          <w:p w14:paraId="0074DA6B">
            <w:pPr>
              <w:jc w:val="center"/>
              <w:rPr>
                <w:sz w:val="24"/>
              </w:rPr>
            </w:pPr>
            <w:r>
              <w:rPr>
                <w:rFonts w:hint="eastAsia" w:ascii="仿宋" w:hAnsi="仿宋" w:eastAsia="仿宋" w:cs="仿宋"/>
                <w:sz w:val="28"/>
                <w:szCs w:val="28"/>
              </w:rPr>
              <w:t>时  间</w:t>
            </w:r>
          </w:p>
        </w:tc>
        <w:tc>
          <w:tcPr>
            <w:tcW w:w="3749" w:type="dxa"/>
            <w:vAlign w:val="center"/>
          </w:tcPr>
          <w:p w14:paraId="1DEBFB3D">
            <w:pPr>
              <w:widowControl/>
              <w:jc w:val="center"/>
              <w:rPr>
                <w:sz w:val="24"/>
                <w:u w:val="single"/>
              </w:rPr>
            </w:pPr>
            <w:r>
              <w:rPr>
                <w:rFonts w:hint="eastAsia" w:ascii="仿宋" w:hAnsi="仿宋" w:eastAsia="仿宋" w:cs="仿宋"/>
                <w:sz w:val="28"/>
                <w:szCs w:val="28"/>
                <w:u w:val="single"/>
              </w:rPr>
              <w:t xml:space="preserve">  2025  </w:t>
            </w:r>
            <w:r>
              <w:rPr>
                <w:rFonts w:hint="eastAsia" w:ascii="仿宋" w:hAnsi="仿宋" w:eastAsia="仿宋" w:cs="仿宋"/>
                <w:sz w:val="28"/>
                <w:szCs w:val="28"/>
              </w:rPr>
              <w:t>年</w:t>
            </w:r>
            <w:r>
              <w:rPr>
                <w:rFonts w:hint="eastAsia" w:ascii="仿宋" w:hAnsi="仿宋" w:eastAsia="仿宋" w:cs="仿宋"/>
                <w:sz w:val="28"/>
                <w:szCs w:val="28"/>
                <w:u w:val="single"/>
              </w:rPr>
              <w:t xml:space="preserve">  6  </w:t>
            </w:r>
            <w:r>
              <w:rPr>
                <w:rFonts w:hint="eastAsia" w:ascii="仿宋" w:hAnsi="仿宋" w:eastAsia="仿宋" w:cs="仿宋"/>
                <w:sz w:val="28"/>
                <w:szCs w:val="28"/>
              </w:rPr>
              <w:t>月</w:t>
            </w:r>
            <w:r>
              <w:rPr>
                <w:rFonts w:hint="eastAsia" w:ascii="仿宋" w:hAnsi="仿宋" w:eastAsia="仿宋" w:cs="仿宋"/>
                <w:sz w:val="28"/>
                <w:szCs w:val="28"/>
                <w:u w:val="single"/>
              </w:rPr>
              <w:t xml:space="preserve">  29  </w:t>
            </w:r>
            <w:r>
              <w:rPr>
                <w:rFonts w:hint="eastAsia" w:ascii="仿宋" w:hAnsi="仿宋" w:eastAsia="仿宋" w:cs="仿宋"/>
                <w:sz w:val="28"/>
                <w:szCs w:val="28"/>
              </w:rPr>
              <w:t>日</w:t>
            </w:r>
          </w:p>
        </w:tc>
        <w:tc>
          <w:tcPr>
            <w:tcW w:w="1260" w:type="dxa"/>
            <w:vAlign w:val="center"/>
          </w:tcPr>
          <w:p w14:paraId="011207C4">
            <w:pPr>
              <w:widowControl/>
              <w:spacing w:line="400" w:lineRule="exact"/>
              <w:jc w:val="center"/>
              <w:rPr>
                <w:sz w:val="24"/>
              </w:rPr>
            </w:pPr>
            <w:r>
              <w:rPr>
                <w:rFonts w:hint="eastAsia" w:ascii="仿宋" w:hAnsi="仿宋" w:eastAsia="仿宋" w:cs="仿宋"/>
                <w:sz w:val="28"/>
                <w:szCs w:val="28"/>
              </w:rPr>
              <w:t>地  点</w:t>
            </w:r>
          </w:p>
        </w:tc>
        <w:tc>
          <w:tcPr>
            <w:tcW w:w="2907" w:type="dxa"/>
            <w:vAlign w:val="center"/>
          </w:tcPr>
          <w:p w14:paraId="2BC09673">
            <w:pPr>
              <w:widowControl/>
              <w:jc w:val="center"/>
              <w:rPr>
                <w:sz w:val="24"/>
              </w:rPr>
            </w:pPr>
            <w:r>
              <w:rPr>
                <w:rFonts w:hint="eastAsia" w:ascii="仿宋" w:hAnsi="仿宋" w:eastAsia="仿宋" w:cs="仿宋"/>
                <w:sz w:val="28"/>
                <w:szCs w:val="28"/>
              </w:rPr>
              <w:t>教2-203</w:t>
            </w:r>
          </w:p>
        </w:tc>
      </w:tr>
      <w:tr w14:paraId="09B4C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9855" w:type="dxa"/>
            <w:gridSpan w:val="4"/>
          </w:tcPr>
          <w:p w14:paraId="5DC0F18B">
            <w:pPr>
              <w:spacing w:line="400" w:lineRule="exact"/>
              <w:rPr>
                <w:rFonts w:hint="eastAsia" w:ascii="仿宋" w:hAnsi="仿宋" w:eastAsia="仿宋" w:cs="仿宋"/>
                <w:sz w:val="28"/>
                <w:szCs w:val="28"/>
              </w:rPr>
            </w:pPr>
            <w:r>
              <w:rPr>
                <w:rFonts w:hint="eastAsia" w:ascii="仿宋" w:hAnsi="仿宋" w:eastAsia="仿宋" w:cs="仿宋"/>
                <w:sz w:val="28"/>
                <w:szCs w:val="28"/>
              </w:rPr>
              <w:t>记录内容：</w:t>
            </w:r>
          </w:p>
          <w:p w14:paraId="4DFF4094">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1. 临近降水预报中使用的影响因素有哪些？这些数据（如风速、风向、温度等）的来源、获取方式和数据量是多少？</w:t>
            </w:r>
          </w:p>
          <w:p w14:paraId="545D5ADC">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t>回答：</w:t>
            </w:r>
            <w:r>
              <w:rPr>
                <w:rFonts w:ascii="仿宋" w:hAnsi="仿宋" w:eastAsia="仿宋" w:cs="仿宋"/>
                <w:sz w:val="28"/>
                <w:szCs w:val="28"/>
              </w:rPr>
              <w:t>本研究构建预报模型所使用的影响因子主要包括以下几类：气象状态变量：风速、风向、温度、湿度、海平面气压。降水核心观测：历史降水序列、雷达组合反射率（反映降水微物理过程）。遥感信息：FY-4B静止气象卫星的多通道数据。地形数据：高分辨率地形高程数据（DEM）。数据来源与获取：主要合作数据源：本研究是与省气象局合作的重大项目，因此核心数据（尤其是高时空分辨率的地面自动站、雷达、卫星临近预报产品）直接来源于省气象局的业务观测网络。辅助公开数据：为补充和验证，我们也使用了公开数据集，如ERA5再分析资料和NASA的IMERG等卫星降水产品。这些公开数据的指标与气象局数据在物理意义上是一致的。数据量：在前期实验阶段，我们使用了2021-202</w:t>
            </w:r>
            <w:r>
              <w:rPr>
                <w:rFonts w:hint="eastAsia" w:ascii="仿宋" w:hAnsi="仿宋" w:eastAsia="仿宋" w:cs="仿宋"/>
                <w:sz w:val="28"/>
                <w:szCs w:val="28"/>
              </w:rPr>
              <w:t>5</w:t>
            </w:r>
            <w:r>
              <w:rPr>
                <w:rFonts w:ascii="仿宋" w:hAnsi="仿宋" w:eastAsia="仿宋" w:cs="仿宋"/>
                <w:sz w:val="28"/>
                <w:szCs w:val="28"/>
              </w:rPr>
              <w:t>年共</w:t>
            </w:r>
            <w:r>
              <w:rPr>
                <w:rFonts w:hint="eastAsia" w:ascii="仿宋" w:hAnsi="仿宋" w:eastAsia="仿宋" w:cs="仿宋"/>
                <w:sz w:val="28"/>
                <w:szCs w:val="28"/>
              </w:rPr>
              <w:t>5</w:t>
            </w:r>
            <w:r>
              <w:rPr>
                <w:rFonts w:ascii="仿宋" w:hAnsi="仿宋" w:eastAsia="仿宋" w:cs="仿宋"/>
                <w:sz w:val="28"/>
                <w:szCs w:val="28"/>
              </w:rPr>
              <w:t>年的历史数据进行模型训练和验证。考虑到降水事件本身的非均匀分布（例如，小雨或无雨情况在历史记录中占比高达70%-80%，而暴雨等极端事件相对稀少），我们在构建训练集时，会特别关注样本平衡策略。这包括对强降水事件（如大雨、暴雨等级）进行重点采样或数据增强，确保模型能有效学习关键天气过程，避免模型偏向于预测常见但预报价值较低的无雨/小雨状态。最终用于训练的有效样本量在几万条级别。</w:t>
            </w:r>
          </w:p>
          <w:p w14:paraId="1C7395BF">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2.你的临近降水预报的时效是多长？选择生成对抗网络（GAN）的创新点体现在哪里？是否已进行初步实验，效果如何？</w:t>
            </w:r>
          </w:p>
          <w:p w14:paraId="1944827A">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t>回答：</w:t>
            </w:r>
            <w:r>
              <w:rPr>
                <w:rFonts w:ascii="仿宋" w:hAnsi="仿宋" w:eastAsia="仿宋" w:cs="仿宋"/>
                <w:sz w:val="28"/>
                <w:szCs w:val="28"/>
              </w:rPr>
              <w:t>本研究主要聚焦于0-2小时的临近预报，目标是生成逐10分钟的高时空分辨率降水产品。同时，作为模型能力的探索和延伸，我们也计划进行0-6小时的短时预报尝试，输出逐小时的预报结果。选择GAN的创新点：选择生成对抗网络（GAN）框架，主要基于其在解决降水预报关键难点上的两个核心优势，这也是我们研究的主要创新方向：解决样本不平衡与极端事件建模：正如前面提到的，高影响降水事件（如暴雨）样本相对稀少。GAN（特别是WGAN-GP框架）在生成建模方面具有优势，能够通过学习数据分布，有效地生成符合物理规律的合成降水场，这有助于扩充对稀有极端降水模式的表征，改善模型对这类事件的预报能力。提升空间结构精细度与物理合理性：传统回归模型（如纯ConvLSTM）在进行降水外推时，常导致预测的降水区域边界模糊、结构失真（例如，锋面不清晰）。本研究提出的PhysGAN 和 WGAN-SPNet 模型，通过在GAN框架中显式嵌入物理约束（如在损失函数中加入基于Sobel算子的边缘损失强制锐化气象边界，加入平滑损失抑制非物理噪声点，在WGAN-SPNet中利用地形引导），能够提升生成降水场的空间结构细节和物理一致性，使预测的雨带形态、锋面位置等更接近真实观测。初步实验：目前，我们已经复现并测试了一些基础的</w:t>
            </w:r>
            <w:r>
              <w:rPr>
                <w:rFonts w:hint="eastAsia" w:ascii="仿宋" w:hAnsi="仿宋" w:eastAsia="仿宋" w:cs="仿宋"/>
                <w:sz w:val="28"/>
                <w:szCs w:val="28"/>
              </w:rPr>
              <w:t>回归</w:t>
            </w:r>
            <w:r>
              <w:rPr>
                <w:rFonts w:ascii="仿宋" w:hAnsi="仿宋" w:eastAsia="仿宋" w:cs="仿宋"/>
                <w:sz w:val="28"/>
                <w:szCs w:val="28"/>
              </w:rPr>
              <w:t>预报模型。这些基线模型的初步结果显示，它们在预报精度，特别是在捕捉强降水细节和维持长时间预报的物理合理性方面，效果尚不够理想，存在明显的模糊和失真现象。这进一步印证了引入GAN框架和物理约束的必要性。我们基于GAN架构的模型（PhysGAN, WGAN-SPNet）正在开发调试中，具体的量化对比实验结果将是下一阶段工作的重点。</w:t>
            </w:r>
          </w:p>
          <w:p w14:paraId="744E3DBC">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3.你认为影响降水预报的主要因素是什么？地形因素在你的模型中是如何考虑的？你的两个模型（PhysGAN和WGAN-SPNet）主要差别在哪里？</w:t>
            </w:r>
          </w:p>
          <w:p w14:paraId="78A35712">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t>回答：</w:t>
            </w:r>
            <w:r>
              <w:rPr>
                <w:rFonts w:ascii="仿宋" w:hAnsi="仿宋" w:eastAsia="仿宋" w:cs="仿宋"/>
                <w:sz w:val="28"/>
                <w:szCs w:val="28"/>
              </w:rPr>
              <w:t>浙江地区的降水预报挑战主要源于其独特的地理和气候背景：复杂地形：研究区域（覆盖浙西北天目山脉、浙中金衢盆地、浙东南沿海丘陵）地形起伏显著。山脉（如天目山）的动力抬升作用对水汽输送和降水分布有决定性影响，盆地和沿海地形也调制着局地环流和对流触发。多尺度天气系统：既受梅雨锋系持续性降水影响，又频繁遭遇台风引发的突发性强对流系统。模型中地形因素的考量：地形因素是本研究的关键输入和约束点之一：数据输入：我们已将高分辨率地形高程数据（DEM）作为核心输入特征之一，输入模型。模型设计：特别是在WGAN-SPNet 模型中，我们设计了地形引导插值模块和物理约束注意力机制（AttenConvGRU）。这些模块旨在显式地让模型学习地形（如坡度、坡向）与气象要素（如风场辐合抬升）的相互作用，动态聚焦于地形强迫效应显著的区域（如迎风坡），以改善地形降水的预报准确性。两个模型的差别：PhysGAN 和 WGAN-SPNet 是本研究的两个核心模型，侧重点不同：PhysGAN：核心创新在于直接在GAN的损失函数层面嵌入物理约束（如拉普拉斯平滑损失 ∇² Loss 强制空间连续性，Sobel边缘损失锐化气象边界）。它侧重于提升生成降水场的整体物理合理性和基础时空建模能力。WGAN-SPNet：在PhysGAN基础上更进一步，其核心创新在于：1) 采用双分辨率判别器架构（高分辨率分支抓细节，低分辨率分支控整体），显著提升降水空间结构细节（特别是地形相关降水）的生成精度；2) 引入了更强大的时序建模模块（AttenConvGRU）并结合物理引导的时空注意力，旨在更好地捕捉复杂地形下降水系统的演变规律，并缓解长时序预报（如0-6小时）中的物理一致性衰减问题。</w:t>
            </w:r>
          </w:p>
          <w:p w14:paraId="2D503E75">
            <w:pPr>
              <w:spacing w:after="60" w:line="400" w:lineRule="exact"/>
              <w:rPr>
                <w:rFonts w:hint="eastAsia" w:ascii="仿宋" w:hAnsi="仿宋" w:eastAsia="仿宋" w:cs="仿宋"/>
                <w:sz w:val="28"/>
                <w:szCs w:val="28"/>
              </w:rPr>
            </w:pPr>
          </w:p>
          <w:p w14:paraId="7A78DE26">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4.报告中提到的“地形降水相关系数&lt;0.45”，这个相关系数具体是如何计算或得出的？</w:t>
            </w:r>
          </w:p>
          <w:p w14:paraId="09EF5B3C">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t>回答：</w:t>
            </w:r>
            <w:r>
              <w:rPr>
                <w:rFonts w:ascii="仿宋" w:hAnsi="仿宋" w:eastAsia="仿宋" w:cs="仿宋"/>
                <w:sz w:val="28"/>
                <w:szCs w:val="28"/>
              </w:rPr>
              <w:t>报告中提到的“地形降水相关系数&lt;0.45”这个数值，主要来源于我们前期的文献调研</w:t>
            </w:r>
            <w:r>
              <w:rPr>
                <w:rFonts w:hint="eastAsia" w:ascii="仿宋" w:hAnsi="仿宋" w:eastAsia="仿宋" w:cs="仿宋"/>
                <w:sz w:val="28"/>
                <w:szCs w:val="28"/>
              </w:rPr>
              <w:t>内容</w:t>
            </w:r>
            <w:r>
              <w:rPr>
                <w:rFonts w:ascii="仿宋" w:hAnsi="仿宋" w:eastAsia="仿宋" w:cs="仿宋"/>
                <w:sz w:val="28"/>
                <w:szCs w:val="28"/>
              </w:rPr>
              <w:t>。在降水临近预报领域，尤其是在复杂地形区域（如我们的研究区包含的天目山、沿海丘陵），评估模型预报的降水空间分布与实际观测之间的空间相关性（如皮尔逊相关系数）是一个常用指标。多篇评估研究（例如针对传统光流法、统计外推法甚至早期深度学习模型在类似复杂地形区的检验结果）表明，这类模型在地形抬升区、背风坡等关键区域的降水空间分布预报相关系数往往较低，普遍低于0.45。这反映了传统方法在表征地形-降水非线性相互作用方面的显著不足。这个数值为我们模型的研发设定了一个重要的性能基准。我们将在后续的模型训练和验证中，严格计算并报告我们自己模型在相同或类似指标上的表现（例如，计算模型预测的降水场与验证集真实降水场在空间格点上的相关系数），以定量评估我们所提出的物理约束GAN模型（特别是WGAN-SPNet中的地形引导模块）在克服这一挑战、提升地形降水预报精度方面的实际效果。</w:t>
            </w:r>
          </w:p>
          <w:p w14:paraId="3E8BB0FD">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5.你当前的研究主要是数值（数据）驱动的方法吗？是否考虑了物理驱动？题目是“生成对抗网络”，看起来偏数值驱动，物理方法体现在哪里？</w:t>
            </w:r>
          </w:p>
          <w:p w14:paraId="1011A97D">
            <w:pPr>
              <w:spacing w:line="400" w:lineRule="exact"/>
              <w:rPr>
                <w:sz w:val="24"/>
              </w:rPr>
            </w:pPr>
            <w:r>
              <w:rPr>
                <w:rFonts w:hint="eastAsia" w:ascii="仿宋" w:hAnsi="仿宋" w:eastAsia="仿宋" w:cs="仿宋"/>
                <w:b/>
                <w:bCs/>
                <w:sz w:val="28"/>
                <w:szCs w:val="28"/>
              </w:rPr>
              <w:t>回答：</w:t>
            </w:r>
            <w:r>
              <w:rPr>
                <w:rFonts w:ascii="仿宋" w:hAnsi="仿宋" w:eastAsia="仿宋" w:cs="仿宋"/>
                <w:sz w:val="28"/>
                <w:szCs w:val="28"/>
              </w:rPr>
              <w:t>深度学习模型（包括GAN）本质上是数据驱动的。然而，本研究的一个核心创新点和重点，正是致力于弥合纯数据驱动与物理机理之间的鸿沟，探索“物理约束的数据驱动”范式在降水临近预报中的应用。物理方法并非缺席，而是深度融入了模型的设计：物理先验作为输入：模型输入不仅包含观测数据（数值），也包含直接反映物理状态的变量（如风场、湿度、气压梯度）以及地形高程这一关键物理环境因子。物理约束嵌入损失函数：这是PhysGAN 的核心。我们显式地在GAN的训练目标中加入了：∇² 平滑损失：强制生成的降水场在空间上满足一定的连续性（近似满足拉普拉斯方程），抑制非物理的孤立噪声点，这隐含地关联着质量守恒的思想。Sobel 边缘损失：通过计算并匹配生成降水场与真实降水场的空间梯度（边缘），锐化关键的气象边界（如锋面、雨带边缘），这直接针对传统模型预测模糊的问题，增强突变特征的物理合理性。物理引导的模型结构：在WGAN-SPNet 中更进一步：设计了地形引导插值模块，利用地形信息直接影响特征生成。在关键的AttenConvGRU 时序建模模块中引入了物理约束的注意力机制。该机制旨在动态聚焦于由物理知识（如高对流有效位能CAPE区、地形抬升触发区）指示的关键气象敏感区域，引导模型学习符合物理规律的演变过程。双分辨率判别器的设计也隐含了物理动机：天气尺度系统（宏观）与对流尺度过程（微观）需要不同的视角来评估其物理合理性。本研究题目虽聚焦“生成对抗网络”这一数据驱动工具，但内核是“物理约束的生成对抗网络”。我们不是构建纯物理方程模型，而是将关键物理知识（连续性、突变性、地形强迫）转化为可嵌入深度学习框架的数学约束（损失函数项）或结构设计（注意力引导），目标是让数据驱动模型学习到的规律更符合已知的大气物理原理，从而提高预报的可解释性、泛化性和在复杂场景的鲁棒性。</w:t>
            </w:r>
          </w:p>
          <w:p w14:paraId="109FD025">
            <w:pPr>
              <w:widowControl/>
              <w:spacing w:line="400" w:lineRule="exact"/>
              <w:rPr>
                <w:sz w:val="24"/>
              </w:rPr>
            </w:pPr>
          </w:p>
          <w:p w14:paraId="5E00C39A">
            <w:pPr>
              <w:spacing w:line="400" w:lineRule="exact"/>
              <w:rPr>
                <w:sz w:val="24"/>
              </w:rPr>
            </w:pPr>
          </w:p>
          <w:p w14:paraId="5E5CD292">
            <w:pPr>
              <w:spacing w:line="400" w:lineRule="exact"/>
              <w:rPr>
                <w:sz w:val="24"/>
              </w:rPr>
            </w:pPr>
          </w:p>
          <w:p w14:paraId="2A070CE6">
            <w:pPr>
              <w:spacing w:line="400" w:lineRule="exact"/>
              <w:rPr>
                <w:sz w:val="24"/>
              </w:rPr>
            </w:pPr>
          </w:p>
          <w:p w14:paraId="6B868F92">
            <w:pPr>
              <w:spacing w:line="400" w:lineRule="exact"/>
              <w:rPr>
                <w:sz w:val="24"/>
              </w:rPr>
            </w:pPr>
          </w:p>
          <w:p w14:paraId="243EC0D6">
            <w:pPr>
              <w:spacing w:line="400" w:lineRule="exact"/>
              <w:rPr>
                <w:sz w:val="24"/>
              </w:rPr>
            </w:pPr>
          </w:p>
          <w:p w14:paraId="1678A1B2">
            <w:pPr>
              <w:spacing w:line="400" w:lineRule="exact"/>
              <w:rPr>
                <w:sz w:val="24"/>
              </w:rPr>
            </w:pPr>
          </w:p>
          <w:p w14:paraId="2CDFD5E0">
            <w:pPr>
              <w:spacing w:line="400" w:lineRule="exact"/>
              <w:rPr>
                <w:sz w:val="24"/>
              </w:rPr>
            </w:pPr>
          </w:p>
          <w:p w14:paraId="221CAC4C">
            <w:pPr>
              <w:spacing w:line="400" w:lineRule="exact"/>
              <w:rPr>
                <w:sz w:val="24"/>
              </w:rPr>
            </w:pPr>
          </w:p>
          <w:p w14:paraId="410AA2BF">
            <w:pPr>
              <w:spacing w:line="400" w:lineRule="exact"/>
              <w:rPr>
                <w:sz w:val="24"/>
              </w:rPr>
            </w:pPr>
          </w:p>
          <w:p w14:paraId="501249A2">
            <w:pPr>
              <w:spacing w:line="400" w:lineRule="exact"/>
              <w:rPr>
                <w:sz w:val="24"/>
              </w:rPr>
            </w:pPr>
          </w:p>
          <w:p w14:paraId="689FBA4B">
            <w:pPr>
              <w:spacing w:line="400" w:lineRule="exact"/>
              <w:rPr>
                <w:sz w:val="24"/>
              </w:rPr>
            </w:pPr>
          </w:p>
          <w:p w14:paraId="52BAC568">
            <w:pPr>
              <w:spacing w:line="400" w:lineRule="exact"/>
              <w:rPr>
                <w:sz w:val="24"/>
              </w:rPr>
            </w:pPr>
          </w:p>
          <w:p w14:paraId="623411C7">
            <w:pPr>
              <w:spacing w:line="400" w:lineRule="exact"/>
              <w:rPr>
                <w:sz w:val="24"/>
              </w:rPr>
            </w:pPr>
          </w:p>
          <w:p w14:paraId="029AE7D2">
            <w:pPr>
              <w:spacing w:line="400" w:lineRule="exact"/>
              <w:rPr>
                <w:sz w:val="24"/>
              </w:rPr>
            </w:pPr>
          </w:p>
          <w:p w14:paraId="0BBC25AE">
            <w:pPr>
              <w:spacing w:line="400" w:lineRule="exact"/>
              <w:rPr>
                <w:sz w:val="24"/>
              </w:rPr>
            </w:pPr>
          </w:p>
          <w:p w14:paraId="4BFE3524">
            <w:pPr>
              <w:spacing w:line="400" w:lineRule="exact"/>
              <w:rPr>
                <w:sz w:val="24"/>
              </w:rPr>
            </w:pPr>
          </w:p>
          <w:p w14:paraId="724987FF">
            <w:pPr>
              <w:spacing w:line="400" w:lineRule="exact"/>
              <w:rPr>
                <w:sz w:val="24"/>
              </w:rPr>
            </w:pPr>
          </w:p>
          <w:p w14:paraId="09F34211">
            <w:pPr>
              <w:spacing w:line="400" w:lineRule="exact"/>
              <w:rPr>
                <w:sz w:val="24"/>
              </w:rPr>
            </w:pPr>
          </w:p>
          <w:p w14:paraId="543A468A">
            <w:pPr>
              <w:spacing w:line="400" w:lineRule="exact"/>
              <w:rPr>
                <w:sz w:val="24"/>
              </w:rPr>
            </w:pPr>
          </w:p>
          <w:p w14:paraId="5AB0F718">
            <w:pPr>
              <w:spacing w:line="400" w:lineRule="exact"/>
              <w:rPr>
                <w:sz w:val="24"/>
              </w:rPr>
            </w:pPr>
          </w:p>
          <w:p w14:paraId="52044130">
            <w:pPr>
              <w:spacing w:line="400" w:lineRule="exact"/>
              <w:rPr>
                <w:sz w:val="24"/>
              </w:rPr>
            </w:pPr>
          </w:p>
          <w:p w14:paraId="0845B6BE">
            <w:pPr>
              <w:spacing w:line="400" w:lineRule="exact"/>
              <w:rPr>
                <w:sz w:val="24"/>
              </w:rPr>
            </w:pPr>
          </w:p>
          <w:p w14:paraId="75804481">
            <w:pPr>
              <w:spacing w:line="400" w:lineRule="exact"/>
              <w:rPr>
                <w:sz w:val="24"/>
              </w:rPr>
            </w:pPr>
          </w:p>
          <w:p w14:paraId="54D0EC84">
            <w:pPr>
              <w:spacing w:line="400" w:lineRule="exact"/>
              <w:rPr>
                <w:sz w:val="24"/>
              </w:rPr>
            </w:pPr>
          </w:p>
          <w:p w14:paraId="6E0E7445">
            <w:pPr>
              <w:spacing w:line="400" w:lineRule="exact"/>
              <w:rPr>
                <w:sz w:val="24"/>
              </w:rPr>
            </w:pPr>
          </w:p>
          <w:p w14:paraId="3B8F5F9F">
            <w:pPr>
              <w:spacing w:line="400" w:lineRule="exact"/>
              <w:rPr>
                <w:sz w:val="24"/>
              </w:rPr>
            </w:pPr>
          </w:p>
          <w:p w14:paraId="0654279D">
            <w:pPr>
              <w:spacing w:line="400" w:lineRule="exact"/>
              <w:ind w:firstLine="6240" w:firstLineChars="2600"/>
              <w:rPr>
                <w:sz w:val="24"/>
              </w:rPr>
            </w:pPr>
            <w:r>
              <w:rPr>
                <w:rFonts w:hint="eastAsia"/>
                <w:sz w:val="24"/>
              </w:rPr>
              <w:t>记录人签名：</w:t>
            </w:r>
          </w:p>
          <w:p w14:paraId="65806522">
            <w:pPr>
              <w:widowControl/>
              <w:spacing w:line="400" w:lineRule="exact"/>
              <w:rPr>
                <w:sz w:val="24"/>
              </w:rPr>
            </w:pPr>
          </w:p>
        </w:tc>
      </w:tr>
    </w:tbl>
    <w:p w14:paraId="76F2E646">
      <w:pPr>
        <w:rPr>
          <w:sz w:val="22"/>
        </w:rPr>
      </w:pPr>
    </w:p>
    <w:sectPr>
      <w:pgSz w:w="11907" w:h="16840"/>
      <w:pgMar w:top="851" w:right="1077" w:bottom="1558" w:left="1191" w:header="851" w:footer="992" w:gutter="0"/>
      <w:pgNumType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仿宋">
    <w:panose1 w:val="02010609060101010101"/>
    <w:charset w:val="86"/>
    <w:family w:val="modern"/>
    <w:pitch w:val="default"/>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E22C0C">
    <w:pPr>
      <w:pStyle w:val="9"/>
      <w:framePr w:wrap="around" w:vAnchor="text" w:hAnchor="margin" w:xAlign="center" w:y="1"/>
      <w:rPr>
        <w:rStyle w:val="17"/>
      </w:rPr>
    </w:pPr>
    <w:r>
      <w:fldChar w:fldCharType="begin"/>
    </w:r>
    <w:r>
      <w:rPr>
        <w:rStyle w:val="17"/>
      </w:rPr>
      <w:instrText xml:space="preserve">PAGE  </w:instrText>
    </w:r>
    <w:r>
      <w:fldChar w:fldCharType="end"/>
    </w:r>
  </w:p>
  <w:p w14:paraId="2BC080C8">
    <w:pPr>
      <w:pStyle w:val="9"/>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18A78C"/>
    <w:multiLevelType w:val="singleLevel"/>
    <w:tmpl w:val="CF18A78C"/>
    <w:lvl w:ilvl="0" w:tentative="0">
      <w:start w:val="1"/>
      <w:numFmt w:val="chineseCounting"/>
      <w:suff w:val="nothing"/>
      <w:lvlText w:val="%1、"/>
      <w:lvlJc w:val="left"/>
      <w:rPr>
        <w:rFonts w:hint="eastAsia"/>
      </w:rPr>
    </w:lvl>
  </w:abstractNum>
  <w:abstractNum w:abstractNumId="1">
    <w:nsid w:val="FBF9D5DE"/>
    <w:multiLevelType w:val="singleLevel"/>
    <w:tmpl w:val="FBF9D5DE"/>
    <w:lvl w:ilvl="0" w:tentative="0">
      <w:start w:val="4"/>
      <w:numFmt w:val="chineseCounting"/>
      <w:suff w:val="nothing"/>
      <w:lvlText w:val="%1、"/>
      <w:lvlJc w:val="left"/>
      <w:rPr>
        <w:rFonts w:hint="eastAsia"/>
      </w:rPr>
    </w:lvl>
  </w:abstractNum>
  <w:abstractNum w:abstractNumId="2">
    <w:nsid w:val="3077C3BB"/>
    <w:multiLevelType w:val="singleLevel"/>
    <w:tmpl w:val="3077C3BB"/>
    <w:lvl w:ilvl="0" w:tentative="0">
      <w:start w:val="2"/>
      <w:numFmt w:val="decimal"/>
      <w:suff w:val="nothing"/>
      <w:lvlText w:val="（%1）"/>
      <w:lvlJc w:val="left"/>
    </w:lvl>
  </w:abstractNum>
  <w:abstractNum w:abstractNumId="3">
    <w:nsid w:val="605859C6"/>
    <w:multiLevelType w:val="singleLevel"/>
    <w:tmpl w:val="605859C6"/>
    <w:lvl w:ilvl="0" w:tentative="0">
      <w:start w:val="3"/>
      <w:numFmt w:val="chineseCounting"/>
      <w:suff w:val="nothing"/>
      <w:lvlText w:val="第%1，"/>
      <w:lvlJc w:val="left"/>
      <w:rPr>
        <w:rFonts w:hint="eastAsia"/>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35DC4"/>
    <w:rsid w:val="00172A27"/>
    <w:rsid w:val="002817AC"/>
    <w:rsid w:val="00724028"/>
    <w:rsid w:val="008B5568"/>
    <w:rsid w:val="00974576"/>
    <w:rsid w:val="00AF3298"/>
    <w:rsid w:val="00C50A86"/>
    <w:rsid w:val="00CF1C45"/>
    <w:rsid w:val="00D958B4"/>
    <w:rsid w:val="00F03BF1"/>
    <w:rsid w:val="023F0464"/>
    <w:rsid w:val="03127926"/>
    <w:rsid w:val="03726617"/>
    <w:rsid w:val="04CB4231"/>
    <w:rsid w:val="068647B9"/>
    <w:rsid w:val="06F5681E"/>
    <w:rsid w:val="07E31891"/>
    <w:rsid w:val="083940E9"/>
    <w:rsid w:val="08A74FB5"/>
    <w:rsid w:val="08F10805"/>
    <w:rsid w:val="091647BE"/>
    <w:rsid w:val="09523172"/>
    <w:rsid w:val="0A193C90"/>
    <w:rsid w:val="0AFF2E86"/>
    <w:rsid w:val="0B307789"/>
    <w:rsid w:val="0C264442"/>
    <w:rsid w:val="0C815336"/>
    <w:rsid w:val="0F900551"/>
    <w:rsid w:val="1025693D"/>
    <w:rsid w:val="118A4D78"/>
    <w:rsid w:val="13851C48"/>
    <w:rsid w:val="13E76BAD"/>
    <w:rsid w:val="15755493"/>
    <w:rsid w:val="15D12754"/>
    <w:rsid w:val="16381081"/>
    <w:rsid w:val="16897AA8"/>
    <w:rsid w:val="175D54EB"/>
    <w:rsid w:val="17915F58"/>
    <w:rsid w:val="17D912A0"/>
    <w:rsid w:val="18422604"/>
    <w:rsid w:val="1ABC3857"/>
    <w:rsid w:val="1B485C9B"/>
    <w:rsid w:val="1C7A236C"/>
    <w:rsid w:val="1CC730D8"/>
    <w:rsid w:val="1D4D14B8"/>
    <w:rsid w:val="20EB5EB9"/>
    <w:rsid w:val="212C216C"/>
    <w:rsid w:val="213751C3"/>
    <w:rsid w:val="21B25C12"/>
    <w:rsid w:val="228026A7"/>
    <w:rsid w:val="229D0F77"/>
    <w:rsid w:val="230961F8"/>
    <w:rsid w:val="231352C9"/>
    <w:rsid w:val="23767606"/>
    <w:rsid w:val="243E0D86"/>
    <w:rsid w:val="250749B9"/>
    <w:rsid w:val="25910727"/>
    <w:rsid w:val="259869A0"/>
    <w:rsid w:val="25E35426"/>
    <w:rsid w:val="260D1F7D"/>
    <w:rsid w:val="26357304"/>
    <w:rsid w:val="289E694D"/>
    <w:rsid w:val="29235136"/>
    <w:rsid w:val="2A0E4A0F"/>
    <w:rsid w:val="2AC95817"/>
    <w:rsid w:val="2B18296B"/>
    <w:rsid w:val="2B6366C1"/>
    <w:rsid w:val="2C2E1F7D"/>
    <w:rsid w:val="2DB07BDC"/>
    <w:rsid w:val="2E525C7A"/>
    <w:rsid w:val="2EB3170E"/>
    <w:rsid w:val="2F3334E4"/>
    <w:rsid w:val="30D23BA6"/>
    <w:rsid w:val="31EC541C"/>
    <w:rsid w:val="31FE0EF2"/>
    <w:rsid w:val="32F4328A"/>
    <w:rsid w:val="34711E4F"/>
    <w:rsid w:val="34C226AB"/>
    <w:rsid w:val="369A12F2"/>
    <w:rsid w:val="36DB0394"/>
    <w:rsid w:val="395F0516"/>
    <w:rsid w:val="395F496C"/>
    <w:rsid w:val="39B051C8"/>
    <w:rsid w:val="39B210B9"/>
    <w:rsid w:val="39E906DA"/>
    <w:rsid w:val="3B4C75B5"/>
    <w:rsid w:val="3B7E6550"/>
    <w:rsid w:val="3C5B2FD3"/>
    <w:rsid w:val="3D75042F"/>
    <w:rsid w:val="3E06185A"/>
    <w:rsid w:val="3E7A3A51"/>
    <w:rsid w:val="3ECF4342"/>
    <w:rsid w:val="403D3616"/>
    <w:rsid w:val="40DC4AF4"/>
    <w:rsid w:val="42883F4D"/>
    <w:rsid w:val="42AA66E1"/>
    <w:rsid w:val="43140575"/>
    <w:rsid w:val="43193DDE"/>
    <w:rsid w:val="439044A5"/>
    <w:rsid w:val="43E03378"/>
    <w:rsid w:val="469859D9"/>
    <w:rsid w:val="46F30DEA"/>
    <w:rsid w:val="48E82B89"/>
    <w:rsid w:val="493020B6"/>
    <w:rsid w:val="4BC468B1"/>
    <w:rsid w:val="4BF2341E"/>
    <w:rsid w:val="4D6F0C1C"/>
    <w:rsid w:val="4DA75835"/>
    <w:rsid w:val="4ED70EB8"/>
    <w:rsid w:val="4F2411C2"/>
    <w:rsid w:val="50504BB7"/>
    <w:rsid w:val="508036EE"/>
    <w:rsid w:val="50DC7E7F"/>
    <w:rsid w:val="51AC406F"/>
    <w:rsid w:val="5230507C"/>
    <w:rsid w:val="555250C2"/>
    <w:rsid w:val="56BD0B46"/>
    <w:rsid w:val="57CA524F"/>
    <w:rsid w:val="57D86BE3"/>
    <w:rsid w:val="59B34546"/>
    <w:rsid w:val="59BA594E"/>
    <w:rsid w:val="5A5C3D75"/>
    <w:rsid w:val="5A7140A7"/>
    <w:rsid w:val="5B607711"/>
    <w:rsid w:val="5BFA3B05"/>
    <w:rsid w:val="5C543399"/>
    <w:rsid w:val="5D924A61"/>
    <w:rsid w:val="5DE74E3C"/>
    <w:rsid w:val="5E1436C8"/>
    <w:rsid w:val="5F1D0C80"/>
    <w:rsid w:val="5F210735"/>
    <w:rsid w:val="5F7D704B"/>
    <w:rsid w:val="5FC04B62"/>
    <w:rsid w:val="60C53E4A"/>
    <w:rsid w:val="626F35C2"/>
    <w:rsid w:val="63755EBC"/>
    <w:rsid w:val="64A20F32"/>
    <w:rsid w:val="64EC64EC"/>
    <w:rsid w:val="65366619"/>
    <w:rsid w:val="658B0713"/>
    <w:rsid w:val="659077A3"/>
    <w:rsid w:val="65CE23AE"/>
    <w:rsid w:val="66BB5605"/>
    <w:rsid w:val="66D97709"/>
    <w:rsid w:val="66F61840"/>
    <w:rsid w:val="680D249C"/>
    <w:rsid w:val="681E591C"/>
    <w:rsid w:val="68E85E7D"/>
    <w:rsid w:val="69123E71"/>
    <w:rsid w:val="6A004737"/>
    <w:rsid w:val="6A2C58F8"/>
    <w:rsid w:val="6B225676"/>
    <w:rsid w:val="6BDF13BD"/>
    <w:rsid w:val="6D0E6A01"/>
    <w:rsid w:val="6D2C7256"/>
    <w:rsid w:val="6E805B45"/>
    <w:rsid w:val="6ED50C51"/>
    <w:rsid w:val="6FC54822"/>
    <w:rsid w:val="702D3015"/>
    <w:rsid w:val="70A74064"/>
    <w:rsid w:val="70DD57CC"/>
    <w:rsid w:val="72C30157"/>
    <w:rsid w:val="72CC3862"/>
    <w:rsid w:val="73373C88"/>
    <w:rsid w:val="74786307"/>
    <w:rsid w:val="74E4004F"/>
    <w:rsid w:val="76C22733"/>
    <w:rsid w:val="775972A4"/>
    <w:rsid w:val="78E33F6B"/>
    <w:rsid w:val="79A951B4"/>
    <w:rsid w:val="79B37DE1"/>
    <w:rsid w:val="7A7C01D3"/>
    <w:rsid w:val="7B5667DE"/>
    <w:rsid w:val="7C690A14"/>
    <w:rsid w:val="7D384885"/>
    <w:rsid w:val="7DE77D27"/>
    <w:rsid w:val="7E2D01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2"/>
    <w:qFormat/>
    <w:uiPriority w:val="0"/>
    <w:pPr>
      <w:keepNext/>
      <w:keepLines/>
      <w:spacing w:before="312" w:beforeLines="100" w:after="312" w:afterLines="100"/>
      <w:outlineLvl w:val="0"/>
    </w:pPr>
    <w:rPr>
      <w:rFonts w:eastAsia="黑体"/>
      <w:b/>
      <w:bCs/>
      <w:kern w:val="44"/>
      <w:sz w:val="28"/>
      <w:szCs w:val="44"/>
    </w:rPr>
  </w:style>
  <w:style w:type="paragraph" w:styleId="3">
    <w:name w:val="heading 2"/>
    <w:basedOn w:val="1"/>
    <w:next w:val="1"/>
    <w:unhideWhenUsed/>
    <w:qFormat/>
    <w:uiPriority w:val="0"/>
    <w:pPr>
      <w:spacing w:before="100" w:beforeAutospacing="1" w:after="100" w:afterAutospacing="1"/>
      <w:jc w:val="left"/>
      <w:outlineLvl w:val="1"/>
    </w:pPr>
    <w:rPr>
      <w:rFonts w:hint="eastAsia" w:ascii="宋体" w:hAnsi="宋体"/>
      <w:b/>
      <w:bCs/>
      <w:kern w:val="0"/>
      <w:sz w:val="36"/>
      <w:szCs w:val="36"/>
    </w:rPr>
  </w:style>
  <w:style w:type="paragraph" w:styleId="4">
    <w:name w:val="heading 3"/>
    <w:basedOn w:val="1"/>
    <w:next w:val="1"/>
    <w:unhideWhenUsed/>
    <w:qFormat/>
    <w:uiPriority w:val="0"/>
    <w:pPr>
      <w:spacing w:before="100" w:beforeAutospacing="1" w:after="100" w:afterAutospacing="1"/>
      <w:jc w:val="left"/>
      <w:outlineLvl w:val="2"/>
    </w:pPr>
    <w:rPr>
      <w:rFonts w:hint="eastAsia" w:ascii="宋体" w:hAnsi="宋体"/>
      <w:b/>
      <w:bCs/>
      <w:kern w:val="0"/>
      <w:sz w:val="27"/>
      <w:szCs w:val="27"/>
    </w:rPr>
  </w:style>
  <w:style w:type="paragraph" w:styleId="5">
    <w:name w:val="heading 4"/>
    <w:basedOn w:val="1"/>
    <w:next w:val="1"/>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15">
    <w:name w:val="Default Paragraph Font"/>
    <w:semiHidden/>
    <w:unhideWhenUsed/>
    <w:qFormat/>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6">
    <w:name w:val="Body Text"/>
    <w:basedOn w:val="1"/>
    <w:qFormat/>
    <w:uiPriority w:val="0"/>
    <w:pPr>
      <w:jc w:val="center"/>
    </w:pPr>
    <w:rPr>
      <w:sz w:val="24"/>
    </w:rPr>
  </w:style>
  <w:style w:type="paragraph" w:styleId="7">
    <w:name w:val="Plain Text"/>
    <w:basedOn w:val="1"/>
    <w:link w:val="23"/>
    <w:qFormat/>
    <w:uiPriority w:val="0"/>
    <w:rPr>
      <w:rFonts w:hint="eastAsia" w:ascii="宋体" w:hAnsi="Courier New" w:cs="Courier New"/>
      <w:szCs w:val="21"/>
    </w:rPr>
  </w:style>
  <w:style w:type="paragraph" w:styleId="8">
    <w:name w:val="Balloon Text"/>
    <w:basedOn w:val="1"/>
    <w:semiHidden/>
    <w:qFormat/>
    <w:uiPriority w:val="0"/>
    <w:rPr>
      <w:sz w:val="18"/>
      <w:szCs w:val="18"/>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12">
    <w:name w:val="Normal (Web)"/>
    <w:basedOn w:val="1"/>
    <w:qFormat/>
    <w:uiPriority w:val="0"/>
    <w:pPr>
      <w:spacing w:beforeAutospacing="1" w:afterAutospacing="1"/>
      <w:jc w:val="left"/>
    </w:pPr>
    <w:rPr>
      <w:kern w:val="0"/>
      <w:sz w:val="24"/>
    </w:rPr>
  </w:style>
  <w:style w:type="table" w:styleId="14">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page number"/>
    <w:basedOn w:val="15"/>
    <w:qFormat/>
    <w:uiPriority w:val="0"/>
  </w:style>
  <w:style w:type="character" w:styleId="18">
    <w:name w:val="FollowedHyperlink"/>
    <w:qFormat/>
    <w:uiPriority w:val="0"/>
    <w:rPr>
      <w:color w:val="800080"/>
      <w:u w:val="single"/>
    </w:rPr>
  </w:style>
  <w:style w:type="character" w:styleId="19">
    <w:name w:val="Emphasis"/>
    <w:basedOn w:val="15"/>
    <w:qFormat/>
    <w:uiPriority w:val="0"/>
    <w:rPr>
      <w:i/>
    </w:rPr>
  </w:style>
  <w:style w:type="character" w:styleId="20">
    <w:name w:val="Hyperlink"/>
    <w:qFormat/>
    <w:uiPriority w:val="0"/>
    <w:rPr>
      <w:color w:val="0000FF"/>
      <w:u w:val="single"/>
    </w:rPr>
  </w:style>
  <w:style w:type="character" w:styleId="21">
    <w:name w:val="HTML Code"/>
    <w:basedOn w:val="15"/>
    <w:qFormat/>
    <w:uiPriority w:val="0"/>
    <w:rPr>
      <w:rFonts w:ascii="Courier New" w:hAnsi="Courier New"/>
      <w:sz w:val="20"/>
    </w:rPr>
  </w:style>
  <w:style w:type="character" w:customStyle="1" w:styleId="22">
    <w:name w:val="标题 1 字符"/>
    <w:link w:val="2"/>
    <w:qFormat/>
    <w:uiPriority w:val="0"/>
    <w:rPr>
      <w:rFonts w:eastAsia="黑体"/>
      <w:b/>
      <w:bCs/>
      <w:kern w:val="44"/>
      <w:sz w:val="28"/>
      <w:szCs w:val="44"/>
    </w:rPr>
  </w:style>
  <w:style w:type="character" w:customStyle="1" w:styleId="23">
    <w:name w:val="纯文本 字符"/>
    <w:link w:val="7"/>
    <w:qFormat/>
    <w:uiPriority w:val="0"/>
    <w:rPr>
      <w:rFonts w:ascii="宋体" w:hAnsi="Courier New" w:cs="Courier New"/>
      <w:kern w:val="2"/>
      <w:sz w:val="21"/>
      <w:szCs w:val="21"/>
    </w:rPr>
  </w:style>
  <w:style w:type="paragraph" w:customStyle="1" w:styleId="24">
    <w:name w:val="书目1"/>
    <w:basedOn w:val="1"/>
    <w:qFormat/>
    <w:uiPriority w:val="0"/>
    <w:pPr>
      <w:tabs>
        <w:tab w:val="left" w:pos="504"/>
      </w:tabs>
      <w:ind w:left="504" w:hanging="504"/>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hd</Company>
  <Pages>35</Pages>
  <Words>12356</Words>
  <Characters>14178</Characters>
  <Lines>1013</Lines>
  <Paragraphs>285</Paragraphs>
  <TotalTime>2</TotalTime>
  <ScaleCrop>false</ScaleCrop>
  <LinksUpToDate>false</LinksUpToDate>
  <CharactersWithSpaces>14287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2026-06-30T01:20:00Z</dcterms:created>
  <dc:creator>yjc</dc:creator>
  <cp:lastModifiedBy>平安</cp:lastModifiedBy>
  <cp:lastPrinted>2025-10-20T07:26:00Z</cp:lastPrinted>
  <dcterms:modified xsi:type="dcterms:W3CDTF">2026-07-06T09:48:42Z</dcterms:modified>
  <dc:title>华侨大学研究生学位论文开题报告申请表</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E1742DAB9741492282DE5274A5488D71_13</vt:lpwstr>
  </property>
  <property fmtid="{D5CDD505-2E9C-101B-9397-08002B2CF9AE}" pid="3" name="KSOProductBuildVer">
    <vt:lpwstr>2052-12.1.0.26895</vt:lpwstr>
  </property>
  <property fmtid="{D5CDD505-2E9C-101B-9397-08002B2CF9AE}" pid="4" name="KSOTemplateDocerSaveRecord">
    <vt:lpwstr>eyJoZGlkIjoiYWQwNjk3ZDNhY2EyMzA1NTlmMjQ5N2NlOWI5YjRhYjAiLCJ1c2VySWQiOiIxNjQ4NjEwNjIxIn0=</vt:lpwstr>
  </property>
  <property fmtid="{D5CDD505-2E9C-101B-9397-08002B2CF9AE}" pid="5" name="ZOTERO_PREF_1">
    <vt:lpwstr>&lt;data data-version="3" zotero-version="7.0.16"&gt;&lt;session id="7pdVPBP2"/&gt;&lt;style id="https://www.zotero-chinese.com/styles/北京航空航天大学" hasBibliography="1" bibliographyStyleHasBeenSet="1"/&gt;&lt;prefs&gt;&lt;pref name="fieldType" value="Field"/&gt;&lt;/prefs&gt;&lt;/data&gt;</vt:lpwstr>
  </property>
</Properties>
</file>