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从随机释放到源概率图</w:t>
      </w:r>
    </w:p>
    <w:p>
      <w:pPr>
        <w:pStyle w:val="Subtitle"/>
      </w:pPr>
      <w:r>
        <w:t xml:space="preserve">唯一候选的数学构造、可运行原型与第一刀反证</w:t>
      </w:r>
    </w:p>
    <w:p>
      <w:pPr>
        <w:pStyle w:val="Date"/>
      </w:pPr>
      <w:r>
        <w:t xml:space="preserve">2026年9月26日</w:t>
      </w:r>
    </w:p>
    <w:bookmarkStart w:id="21" w:name="这次的决定"/>
    <w:p>
      <w:pPr>
        <w:pStyle w:val="Heading1"/>
      </w:pPr>
      <w:r>
        <w:t xml:space="preserve">1. 这次的决定</w:t>
      </w:r>
    </w:p>
    <w:p>
      <w:pPr>
        <w:pStyle w:val="FirstParagraph"/>
      </w:pPr>
      <w:r>
        <w:rPr>
          <w:b/>
          <w:bCs/>
        </w:rPr>
        <w:t xml:space="preserve">只保留一个开发候选：由随机释放—输运的生成泛函，反向计算全部候选源的非高斯观测分布，再形成源概率图。</w:t>
      </w:r>
      <w:r>
        <w:t xml:space="preserve"> </w:t>
      </w:r>
      <w:r>
        <w:t xml:space="preserve">不再给它先起缩写，也不把它写成已经成立的论文主创新。</w:t>
      </w:r>
    </w:p>
    <w:p>
      <w:pPr>
        <w:pStyle w:val="BodyText"/>
      </w:pPr>
      <w:r>
        <w:t xml:space="preserve">与上一轮不同，本包不仅有任务书：已有完整有限状态推导、可执行分布求解器、17项数学/软件检查和合成168格点的全支持概率图。尚未完成的是接入项目固定GADEN版本、真实OPEN数据比较和独立确认。本包没有新生成GADEN plume，没有打开封存环境，没有改任何历史判决。</w:t>
      </w:r>
    </w:p>
    <w:p>
      <w:pPr>
        <w:pStyle w:val="BodyText"/>
      </w:pPr>
      <w:r>
        <w:t xml:space="preserve">本轮采用的远领域母理论是非平衡输运中的</w:t>
      </w:r>
      <w:r>
        <w:rPr>
          <w:b/>
          <w:bCs/>
        </w:rPr>
        <w:t xml:space="preserve">完整涨落统计（full counting statistics，FCS）的生成函数方法</w:t>
      </w:r>
      <w:r>
        <w:t xml:space="preserve">。采用的是经典、带浓度标记的随机输运版本；不是把量子力学移植到气体，也不是使用2026论文的first-passage定理。Feynman–Kac、生成函数与Bayes归一化均是已有数学工具，不能单独算二次创新。</w:t>
      </w:r>
    </w:p>
    <w:p>
      <w:pPr>
        <w:pStyle w:val="BodyText"/>
      </w:pPr>
      <w:r>
        <w:t xml:space="preserve">拟争取的独立贡献是：在明确的随机输运模型下，将“每个源都需要多条完整随机羽流来估计分布”的计算任务，改写为</w:t>
      </w:r>
      <w:r>
        <w:rPr>
          <w:b/>
          <w:bCs/>
        </w:rPr>
        <w:t xml:space="preserve">共享的反向随机响应场＋释放规律的组合</w:t>
      </w:r>
      <w:r>
        <w:t xml:space="preserve">，同时保留原浓度幅值、零值概率及非高斯结构。是否构成足够新颖的算法贡献，要看它能否取得可核实的计算—统计优势，而不是名称。</w:t>
      </w:r>
    </w:p>
    <w:bookmarkStart w:id="20" w:name="证据状态"/>
    <w:p>
      <w:pPr>
        <w:pStyle w:val="Heading2"/>
      </w:pPr>
      <w:r>
        <w:t xml:space="preserve">证据状态</w:t>
      </w:r>
    </w:p>
    <w:p>
      <w:pPr>
        <w:pStyle w:val="Compact"/>
        <w:numPr>
          <w:ilvl w:val="0"/>
          <w:numId w:val="1001"/>
        </w:numPr>
      </w:pPr>
      <w:r>
        <w:t xml:space="preserve">附件事实：最新DESIGN_REVIEW.md已将上一集合分离构造归为普通set-membership/profile likelihood，没有独立构造。旧失败账本禁止统一去幅值、用场误差代替定位证据和揭盲后救模型。</w:t>
      </w:r>
    </w:p>
    <w:p>
      <w:pPr>
        <w:pStyle w:val="Compact"/>
        <w:numPr>
          <w:ilvl w:val="0"/>
          <w:numId w:val="1001"/>
        </w:numPr>
      </w:pPr>
      <w:r>
        <w:t xml:space="preserve">本轮推导：以下生成泛函、组合律、后验及误差关系。</w:t>
      </w:r>
    </w:p>
    <w:p>
      <w:pPr>
        <w:pStyle w:val="Compact"/>
        <w:numPr>
          <w:ilvl w:val="0"/>
          <w:numId w:val="1001"/>
        </w:numPr>
      </w:pPr>
      <w:r>
        <w:t xml:space="preserve">本轮计算：有限状态单元检查；不属于真实气源定位性能。</w:t>
      </w:r>
    </w:p>
    <w:p>
      <w:pPr>
        <w:pStyle w:val="Compact"/>
        <w:numPr>
          <w:ilvl w:val="0"/>
          <w:numId w:val="1001"/>
        </w:numPr>
      </w:pPr>
      <w:r>
        <w:t xml:space="preserve">文献外推：由经典涨落统计组织新求解器；不宣称已经证明真实湍流具有独立包团结构。</w:t>
      </w:r>
    </w:p>
    <w:bookmarkEnd w:id="20"/>
    <w:bookmarkEnd w:id="21"/>
    <w:bookmarkStart w:id="22" w:name="为什么这个构造值得一次实际实现"/>
    <w:p>
      <w:pPr>
        <w:pStyle w:val="Heading1"/>
      </w:pPr>
      <w:r>
        <w:t xml:space="preserve">2. 为什么这个构造值得一次实际实现</w:t>
      </w:r>
    </w:p>
    <w:p>
      <w:pPr>
        <w:pStyle w:val="FirstParagraph"/>
      </w:pPr>
      <w:r>
        <w:t xml:space="preserve">过去很多方法从完整plume realization出发，为每个源估计均值、协方差、编码或不变表示。n=12或16限制了这种高维估计的可靠性。新构造不通过增加每源参数解决问题，而是把已知物理生成步骤当作分布计算的输入。</w:t>
      </w:r>
    </w:p>
    <w:p>
      <w:pPr>
        <w:pStyle w:val="BodyText"/>
      </w:pPr>
      <w:r>
        <w:t xml:space="preserve">拟采用的计算顺序是：</w:t>
      </w:r>
    </w:p>
    <w:p>
      <w:pPr>
        <w:pStyle w:val="BodyText"/>
      </w:pPr>
      <w:r>
        <w:rPr>
          <w:b/>
          <w:bCs/>
        </w:rPr>
        <w:t xml:space="preserve">一个释放单位的随机运动 → 它对有限观测的随机贡献 → 实际释放规律下的总观测分布 → 所有候选源的后验。</w:t>
      </w:r>
    </w:p>
    <w:p>
      <w:pPr>
        <w:pStyle w:val="BodyText"/>
      </w:pPr>
      <w:r>
        <w:t xml:space="preserve">这不是免费的分布估计。它用更强的、必须检验的物理假设换取更少的逐源样本需求。已知或有独立依据的输运模型是输入；不能把未知流场恢复能力含糊地藏进去。</w:t>
      </w:r>
    </w:p>
    <w:p>
      <w:pPr>
        <w:pStyle w:val="BodyText"/>
      </w:pPr>
      <w:r>
        <w:t xml:space="preserve">它也不是再次论证“时间依赖必有益”。算法保留什么依赖，由生成模型与实际观测决定。若两个源对应同一观测分布，就保留其先验赔率，不制造精确cell尖峰。若完整分布与均值/方差模型没有实际收益，就不继续提升主创新资格。</w:t>
      </w:r>
    </w:p>
    <w:bookmarkEnd w:id="22"/>
    <w:bookmarkStart w:id="23" w:name="母理论与最近先例哪些不能认领"/>
    <w:p>
      <w:pPr>
        <w:pStyle w:val="Heading1"/>
      </w:pPr>
      <w:r>
        <w:t xml:space="preserve">3. 母理论与最近先例：哪些不能认领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  <w:cantSplit/>
          <w:tblHeader/>
        </w:trPr>
        <w:tc>
          <w:tcPr/>
          <w:p>
            <w:pPr>
              <w:pStyle w:val="Compact"/>
              <w:spacing w:after="80"/>
              <w:jc w:val="left"/>
            </w:pPr>
            <w:r>
              <w:rPr>
                <w:sz w:val="17"/>
              </w:rPr>
              <w:t xml:space="preserve">原始研究</w:t>
            </w:r>
          </w:p>
        </w:tc>
        <w:tc>
          <w:tcPr/>
          <w:p>
            <w:pPr>
              <w:pStyle w:val="Compact"/>
              <w:spacing w:after="80"/>
              <w:jc w:val="left"/>
            </w:pPr>
            <w:r>
              <w:rPr>
                <w:sz w:val="17"/>
              </w:rPr>
              <w:t xml:space="preserve">可借鉴部分</w:t>
            </w:r>
          </w:p>
        </w:tc>
        <w:tc>
          <w:tcPr/>
          <w:p>
            <w:pPr>
              <w:pStyle w:val="Compact"/>
              <w:spacing w:after="80"/>
              <w:jc w:val="left"/>
            </w:pPr>
            <w:r>
              <w:rPr>
                <w:sz w:val="17"/>
              </w:rPr>
              <w:t xml:space="preserve">不能据此宣称的部分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80"/>
              <w:jc w:val="left"/>
            </w:pPr>
            <w:r>
              <w:rPr>
                <w:sz w:val="17"/>
              </w:rPr>
              <w:t xml:space="preserve">Menczel等，PRX Quantum 7, 010304，2026-01-08 [1]</w:t>
            </w:r>
          </w:p>
        </w:tc>
        <w:tc>
          <w:tcPr/>
          <w:p>
            <w:pPr>
              <w:pStyle w:val="Compact"/>
              <w:spacing w:after="80"/>
              <w:jc w:val="left"/>
            </w:pPr>
            <w:r>
              <w:rPr>
                <w:sz w:val="17"/>
              </w:rPr>
              <w:t xml:space="preserve">用生成函数研究随机输运的完整涨落，而非只研究均值</w:t>
            </w:r>
          </w:p>
        </w:tc>
        <w:tc>
          <w:tcPr/>
          <w:p>
            <w:pPr>
              <w:pStyle w:val="Compact"/>
              <w:spacing w:after="80"/>
              <w:jc w:val="left"/>
            </w:pPr>
            <w:r>
              <w:rPr>
                <w:sz w:val="17"/>
              </w:rPr>
              <w:t xml:space="preserve">论文为Markovian Lindblad量子系统；其量子与first-passage结论不直接适用GADEN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80"/>
              <w:jc w:val="left"/>
            </w:pPr>
            <w:r>
              <w:rPr>
                <w:sz w:val="17"/>
              </w:rPr>
              <w:t xml:space="preserve">Brémont，PRL 136, 107101，2026-03-11 [2]</w:t>
            </w:r>
          </w:p>
        </w:tc>
        <w:tc>
          <w:tcPr/>
          <w:p>
            <w:pPr>
              <w:pStyle w:val="Compact"/>
              <w:spacing w:after="80"/>
              <w:jc w:val="left"/>
            </w:pPr>
            <w:r>
              <w:rPr>
                <w:sz w:val="17"/>
              </w:rPr>
              <w:t xml:space="preserve">到达/释放过程的非Poisson性质会改变统计行为</w:t>
            </w:r>
          </w:p>
        </w:tc>
        <w:tc>
          <w:tcPr/>
          <w:p>
            <w:pPr>
              <w:pStyle w:val="Compact"/>
              <w:spacing w:after="80"/>
              <w:jc w:val="left"/>
            </w:pPr>
            <w:r>
              <w:rPr>
                <w:sz w:val="17"/>
              </w:rPr>
              <w:t xml:space="preserve">指数marks、renewal shot noise和大阈值渐近不能套在10个浓度快照上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80"/>
              <w:jc w:val="left"/>
            </w:pPr>
            <w:r>
              <w:rPr>
                <w:sz w:val="17"/>
              </w:rPr>
              <w:t xml:space="preserve">O’Connor等，Bulletin of Mathematical Biology 88:83，2026-04-27 [3]</w:t>
            </w:r>
          </w:p>
        </w:tc>
        <w:tc>
          <w:tcPr/>
          <w:p>
            <w:pPr>
              <w:pStyle w:val="Compact"/>
              <w:spacing w:after="80"/>
              <w:jc w:val="left"/>
            </w:pPr>
            <w:r>
              <w:rPr>
                <w:sz w:val="17"/>
              </w:rPr>
              <w:t xml:space="preserve">已用联合Laplace变换研究树感染网络的源可辨识性</w:t>
            </w:r>
          </w:p>
        </w:tc>
        <w:tc>
          <w:tcPr/>
          <w:p>
            <w:pPr>
              <w:pStyle w:val="Compact"/>
              <w:spacing w:after="80"/>
              <w:jc w:val="left"/>
            </w:pPr>
            <w:r>
              <w:rPr>
                <w:sz w:val="17"/>
              </w:rPr>
              <w:t xml:space="preserve">“</w:t>
            </w:r>
            <w:r>
              <w:rPr>
                <w:sz w:val="17"/>
              </w:rPr>
              <w:t xml:space="preserve">用变换反演源</w:t>
            </w:r>
            <w:r>
              <w:rPr>
                <w:sz w:val="17"/>
              </w:rPr>
              <w:t xml:space="preserve">”</w:t>
            </w:r>
            <w:r>
              <w:rPr>
                <w:sz w:val="17"/>
              </w:rPr>
              <w:t xml:space="preserve">并非首次；本文必须区别于独立边延迟、感染到达时间和树结构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80"/>
              <w:jc w:val="left"/>
            </w:pPr>
            <w:r>
              <w:rPr>
                <w:sz w:val="17"/>
              </w:rPr>
              <w:t xml:space="preserve">Fox等，J. Chem. Phys. 145, 074101，2016 [4]</w:t>
            </w:r>
          </w:p>
        </w:tc>
        <w:tc>
          <w:tcPr/>
          <w:p>
            <w:pPr>
              <w:pStyle w:val="Compact"/>
              <w:spacing w:after="80"/>
              <w:jc w:val="left"/>
            </w:pPr>
            <w:r>
              <w:rPr>
                <w:sz w:val="17"/>
              </w:rPr>
              <w:t xml:space="preserve">有限状态概率求解与似然界已有成熟先例</w:t>
            </w:r>
          </w:p>
        </w:tc>
        <w:tc>
          <w:tcPr/>
          <w:p>
            <w:pPr>
              <w:pStyle w:val="Compact"/>
              <w:spacing w:after="80"/>
              <w:jc w:val="left"/>
            </w:pPr>
            <w:r>
              <w:rPr>
                <w:sz w:val="17"/>
              </w:rPr>
              <w:t xml:space="preserve">概率质量守恒、有限状态投影和似然误差界不能包装成原创定理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80"/>
              <w:jc w:val="left"/>
            </w:pPr>
            <w:r>
              <w:rPr>
                <w:sz w:val="17"/>
              </w:rPr>
              <w:t xml:space="preserve">Noel等，GLOBECOM 2014 [5]</w:t>
            </w:r>
          </w:p>
        </w:tc>
        <w:tc>
          <w:tcPr/>
          <w:p>
            <w:pPr>
              <w:pStyle w:val="Compact"/>
              <w:spacing w:after="80"/>
              <w:jc w:val="left"/>
            </w:pPr>
            <w:r>
              <w:rPr>
                <w:sz w:val="17"/>
              </w:rPr>
              <w:t xml:space="preserve">扩散分子通信已有物理似然与位置/距离估计</w:t>
            </w:r>
          </w:p>
        </w:tc>
        <w:tc>
          <w:tcPr/>
          <w:p>
            <w:pPr>
              <w:pStyle w:val="Compact"/>
              <w:spacing w:after="80"/>
              <w:jc w:val="left"/>
            </w:pPr>
            <w:r>
              <w:rPr>
                <w:sz w:val="17"/>
              </w:rPr>
              <w:t xml:space="preserve">“</w:t>
            </w:r>
            <w:r>
              <w:rPr>
                <w:sz w:val="17"/>
              </w:rPr>
              <w:t xml:space="preserve">物理随机模型＋最大似然定位</w:t>
            </w:r>
            <w:r>
              <w:rPr>
                <w:sz w:val="17"/>
              </w:rPr>
              <w:t xml:space="preserve">”</w:t>
            </w:r>
            <w:r>
              <w:rPr>
                <w:sz w:val="17"/>
              </w:rPr>
              <w:t xml:space="preserve">本身不是新贡献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80"/>
              <w:jc w:val="left"/>
            </w:pPr>
            <w:r>
              <w:rPr>
                <w:sz w:val="17"/>
              </w:rPr>
              <w:t xml:space="preserve">Ojeda等，SoftwareX 32:102388，2025 [6]</w:t>
            </w:r>
          </w:p>
        </w:tc>
        <w:tc>
          <w:tcPr/>
          <w:p>
            <w:pPr>
              <w:pStyle w:val="Compact"/>
              <w:spacing w:after="80"/>
              <w:jc w:val="left"/>
            </w:pPr>
            <w:r>
              <w:rPr>
                <w:sz w:val="17"/>
              </w:rPr>
              <w:t xml:space="preserve">Gaden-RT的filament叠加、运动、生长、空间观测接口</w:t>
            </w:r>
          </w:p>
        </w:tc>
        <w:tc>
          <w:tcPr/>
          <w:p>
            <w:pPr>
              <w:pStyle w:val="Compact"/>
              <w:spacing w:after="80"/>
              <w:jc w:val="left"/>
            </w:pPr>
            <w:r>
              <w:rPr>
                <w:sz w:val="17"/>
              </w:rPr>
              <w:t xml:space="preserve">公开主线不是项目固定版本；不能将模拟包团随机性自动视为真实湍流定律</w:t>
            </w:r>
          </w:p>
        </w:tc>
      </w:tr>
    </w:tbl>
    <w:p>
      <w:pPr>
        <w:pStyle w:val="BodyText"/>
      </w:pPr>
      <w:r>
        <w:t xml:space="preserve">本轮核实了上述出版信息与原始摘要/正文范围。[6]公开代码库可访问；本轮没有运行该库，也没有逐函数审核项目固定实现。[1]的论文页面提到代码工具，但本轮未核实该论文专用可复现代码归档。[2]仅使用公开摘要作边界判断，不冒称复现其定理。</w:t>
      </w:r>
      <w:r>
        <w:rPr>
          <w:b/>
          <w:bCs/>
        </w:rPr>
        <w:t xml:space="preserve">不是“已完成首创证明”。</w:t>
      </w:r>
    </w:p>
    <w:bookmarkEnd w:id="23"/>
    <w:bookmarkStart w:id="24" w:name="明确模型不把未知量藏到输入里"/>
    <w:p>
      <w:pPr>
        <w:pStyle w:val="Heading1"/>
      </w:pPr>
      <w:r>
        <w:t xml:space="preserve">4. 明确模型：不把未知量藏到输入里</w:t>
      </w:r>
    </w:p>
    <w:p>
      <w:pPr>
        <w:pStyle w:val="FirstParagraph"/>
      </w:pPr>
      <w:r>
        <w:t xml:space="preserve">设候选源为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S</m:t>
        </m:r>
        <m:r>
          <m:rPr>
            <m:sty m:val="p"/>
          </m:rPr>
          <m:t>}</m:t>
        </m:r>
      </m:oMath>
      <w:r>
        <w:t xml:space="preserve">，先验为固定</w:t>
      </w:r>
      <m:oMath>
        <m:sSub>
          <m:e>
            <m:r>
              <m:t>π</m:t>
            </m:r>
          </m:e>
          <m:sub>
            <m:r>
              <m:t>s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。一次任务中的合法观测为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e</m:t>
              </m:r>
            </m:sub>
            <m:sup>
              <m:r>
                <m:t>​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e</m:t>
                  </m:r>
                  <m:r>
                    <m:rPr>
                      <m:sty m:val="p"/>
                    </m:rPr>
                    <m:t>,</m:t>
                  </m:r>
                  <m:r>
                    <m:t>j</m:t>
                  </m:r>
                </m:sub>
              </m:sSub>
            </m:e>
          </m:nary>
          <m:r>
            <m:rPr>
              <m:sty m:val="p"/>
            </m:rPr>
            <m:t>,</m:t>
          </m:r>
          <m:r>
            <m:t> </m:t>
          </m:r>
          <m:r>
            <m:t>j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m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sSub>
          <m:e>
            <m:r>
              <m:t>A</m:t>
            </m:r>
          </m:e>
          <m:sub>
            <m:r>
              <m:t>e</m:t>
            </m:r>
            <m:r>
              <m:rPr>
                <m:sty m:val="p"/>
              </m:rPr>
              <m:t>,</m:t>
            </m:r>
            <m:r>
              <m:t>j</m:t>
            </m:r>
          </m:sub>
        </m:sSub>
      </m:oMath>
      <w:r>
        <w:t xml:space="preserve">是第</w:t>
      </w:r>
      <m:oMath>
        <m:r>
          <m:t>e</m:t>
        </m:r>
      </m:oMath>
      <w:r>
        <w:t xml:space="preserve">个释放单位对第</w:t>
      </w:r>
      <m:oMath>
        <m:r>
          <m:t>j</m:t>
        </m:r>
      </m:oMath>
      <w:r>
        <w:t xml:space="preserve">次观测的浓度贡献，单位仍为ppm；它不是binary encounter，更不是直接可数的气味事件。观测可以是点浓度或已明确标定的线性空间平均。非线性传感器、饱和与记忆需要明确观测通道，不能直接使用上述加法观测。</w:t>
      </w:r>
    </w:p>
    <w:p>
      <w:pPr>
        <w:pStyle w:val="BodyText"/>
      </w:pPr>
      <w:r>
        <w:t xml:space="preserve">每个释放单位在给定公共物理context</w:t>
      </w:r>
      <w:r>
        <w:t xml:space="preserve"> </w:t>
      </w:r>
      <m:oMath>
        <m:r>
          <m:t>θ</m:t>
        </m:r>
      </m:oMath>
      <w:r>
        <w:t xml:space="preserve">时遵循一个Markov状态</w:t>
      </w:r>
      <m:oMath>
        <m:r>
          <m:t>Z</m:t>
        </m:r>
      </m:oMath>
      <w:r>
        <w:t xml:space="preserve">。该状态必须包含足以闭合运动的变量，例如位置、年龄、扩散尺度及必要内部状态。不能只保留二维中心，随后声称覆盖三维浮力和filament生长。</w:t>
      </w:r>
    </w:p>
    <w:p>
      <w:pPr>
        <w:pStyle w:val="BodyText"/>
      </w:pPr>
      <m:oMath>
        <m:r>
          <m:t>θ</m:t>
        </m:r>
      </m:oMath>
      <w:r>
        <w:t xml:space="preserve">包含边界/风场模型、扩散参数及必要环境状态。固定版本释放规律、源高、起始时刻、释放量也必须来自任务合同，或作为显式未知量积分。</w:t>
      </w:r>
      <w:r>
        <w:rPr>
          <w:b/>
          <w:bCs/>
        </w:rPr>
        <w:t xml:space="preserve">第一轮不同时宣称解决未知释放、未知风场和未知源。</w:t>
      </w:r>
    </w:p>
    <w:p>
      <w:pPr>
        <w:pStyle w:val="BodyText"/>
      </w:pPr>
      <w:r>
        <w:t xml:space="preserve">关键假设：给定公共</w:t>
      </w:r>
      <m:oMath>
        <m:r>
          <m:t>θ</m:t>
        </m:r>
      </m:oMath>
      <w:r>
        <w:t xml:space="preserve">和释放条件后，不同释放单位的随机运动条件独立，或已按相关簇重新定义释放单位。若不成立，不能用独立乘积近似后仍宣称精确。</w:t>
      </w:r>
    </w:p>
    <w:p>
      <w:pPr>
        <w:pStyle w:val="BodyText"/>
      </w:pPr>
      <w:r>
        <w:t xml:space="preserve">公开Gaden-RT文献说明浓度由filament贡献叠加，单filament有运动与生长；但独立性、边界处理、随机数共享、截断与单位必须核对固定代码。[6] 本包的二维上风扩散kernel是教育原型，</w:t>
      </w:r>
      <w:r>
        <w:rPr>
          <w:b/>
          <w:bCs/>
        </w:rPr>
        <w:t xml:space="preserve">不是已验证的GADEN transition</w:t>
      </w:r>
      <w:r>
        <w:t xml:space="preserve">。</w:t>
      </w:r>
    </w:p>
    <w:bookmarkEnd w:id="24"/>
    <w:bookmarkStart w:id="29" w:name="从单团分布到所有源完整计算链"/>
    <w:p>
      <w:pPr>
        <w:pStyle w:val="Heading1"/>
      </w:pPr>
      <w:r>
        <w:t xml:space="preserve">5. 从单团分布到所有源：完整计算链</w:t>
      </w:r>
    </w:p>
    <w:bookmarkStart w:id="25" w:name="单个释放单位的生成泛函"/>
    <w:p>
      <w:pPr>
        <w:pStyle w:val="Heading2"/>
      </w:pPr>
      <w:r>
        <w:t xml:space="preserve">5.1 单个释放单位的生成泛函</w:t>
      </w:r>
    </w:p>
    <w:p>
      <w:pPr>
        <w:pStyle w:val="FirstParagraph"/>
      </w:pPr>
      <w:r>
        <w:t xml:space="preserve">对在时刻</w:t>
      </w:r>
      <m:oMath>
        <m:r>
          <m:t>u</m:t>
        </m:r>
      </m:oMath>
      <w:r>
        <w:t xml:space="preserve">、源</w:t>
      </w:r>
      <m:oMath>
        <m:r>
          <m:t>s</m:t>
        </m:r>
      </m:oMath>
      <w:r>
        <w:t xml:space="preserve">释放的单位，定义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F</m:t>
              </m:r>
            </m:e>
            <m:sub>
              <m:r>
                <m:t>u</m:t>
              </m:r>
              <m:r>
                <m:rPr>
                  <m:sty m:val="p"/>
                </m:rPr>
                <m:t>,</m:t>
              </m:r>
              <m:r>
                <m:t>s</m:t>
              </m:r>
              <m:r>
                <m:rPr>
                  <m:sty m:val="p"/>
                </m:rPr>
                <m:t>,</m:t>
              </m:r>
              <m:r>
                <m:t>θ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λ</m:t>
              </m:r>
            </m:e>
          </m:d>
          <m:r>
            <m:rPr>
              <m:sty m:val="p"/>
            </m:rPr>
            <m:t>=</m:t>
          </m:r>
          <m:r>
            <m:rPr>
              <m:sty m:val="p"/>
              <m:scr m:val="double-struck"/>
            </m:rPr>
            <m:t>E</m:t>
          </m:r>
          <m:r>
            <m:t>​</m:t>
          </m:r>
          <m:d>
            <m:dPr>
              <m:begChr m:val="["/>
              <m:endChr m:val="]"/>
              <m:sepChr m:val=""/>
              <m:grow/>
            </m:dPr>
            <m:e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:</m:t>
                      </m:r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≥</m:t>
                      </m:r>
                      <m:r>
                        <m:t>u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r>
                        <m:t>A</m:t>
                      </m:r>
                    </m:e>
                    <m:sub>
                      <m:r>
                        <m:t>e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</m:e>
              </m:d>
              <m:r>
                <m:rPr>
                  <m:sty m:val="p"/>
                </m:rPr>
                <m:t>∣</m:t>
              </m:r>
              <m:r>
                <m:t>s</m:t>
              </m:r>
              <m:r>
                <m:rPr>
                  <m:sty m:val="p"/>
                </m:rPr>
                <m:t>,</m:t>
              </m:r>
              <m:r>
                <m:t>u</m:t>
              </m:r>
              <m:r>
                <m:rPr>
                  <m:sty m:val="p"/>
                </m:rPr>
                <m:t>,</m:t>
              </m:r>
              <m:r>
                <m:t>θ</m:t>
              </m:r>
            </m:e>
          </m:d>
          <m:r>
            <m:rPr>
              <m:sty m:val="p"/>
            </m:rPr>
            <m:t>,</m:t>
          </m:r>
          <m:r>
            <m:t> </m:t>
          </m:r>
          <m:sSub>
            <m:e>
              <m:r>
                <m:t>λ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非负浓度下</w:t>
      </w:r>
      <m:oMath>
        <m:r>
          <m:t>0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≤</m:t>
        </m:r>
        <m:r>
          <m:t>1</m:t>
        </m:r>
      </m:oMath>
      <w:r>
        <w:t xml:space="preserve">，不要求先估计高阶矩。它描述的是有限观测向量的分布，不是连续时间first-passage、burst duration或完整连续羽流路径。</w:t>
      </w:r>
    </w:p>
    <w:p>
      <w:pPr>
        <w:pStyle w:val="BodyText"/>
      </w:pPr>
      <w:r>
        <w:t xml:space="preserve">设有</w:t>
      </w:r>
      <m:oMath>
        <m:r>
          <m:t>T</m:t>
        </m:r>
      </m:oMath>
      <w:r>
        <w:t xml:space="preserve">个传播步，</w:t>
      </w:r>
      <m:oMath>
        <m:sSub>
          <m:e>
            <m:r>
              <m:t>P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θ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′</m:t>
            </m:r>
          </m:e>
        </m:d>
      </m:oMath>
      <w:r>
        <w:t xml:space="preserve">表示从第</w:t>
      </w:r>
      <m:oMath>
        <m:r>
          <m:t>k</m:t>
        </m:r>
      </m:oMath>
      <w:r>
        <w:t xml:space="preserve">步前到该步后的转移；</w:t>
      </w:r>
      <m:oMath>
        <m:sSub>
          <m:e>
            <m:r>
              <m:t>h</m:t>
            </m:r>
          </m:e>
          <m:sub>
            <m:r>
              <m:t>k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x</m:t>
            </m:r>
            <m:r>
              <m:rPr>
                <m:sty m:val="p"/>
              </m:rPr>
              <m:t>′</m:t>
            </m:r>
          </m:e>
        </m:d>
      </m:oMath>
      <w:r>
        <w:t xml:space="preserve">为该步对各观测坐标的贡献。反向递推为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λ</m:t>
              </m:r>
            </m:e>
          </m:d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k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λ</m:t>
              </m:r>
            </m:e>
          </m:d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′</m:t>
              </m:r>
            </m:sub>
            <m:sup>
              <m:r>
                <m:t>​</m:t>
              </m:r>
            </m:sup>
            <m:e>
              <m:sSub>
                <m:e>
                  <m:r>
                    <m:t>P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θ</m:t>
                  </m:r>
                </m:sub>
              </m:sSub>
            </m:e>
          </m:nary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′</m:t>
              </m:r>
            </m:e>
          </m:d>
          <m:r>
            <m:t> 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sSup>
                <m:e>
                  <m:r>
                    <m:t>λ</m:t>
                  </m:r>
                </m:e>
                <m:sup>
                  <m:r>
                    <m:t>T</m:t>
                  </m:r>
                </m:sup>
              </m:sSup>
              <m:sSub>
                <m:e>
                  <m:r>
                    <m:t>h</m:t>
                  </m:r>
                </m:e>
                <m:sub>
                  <m:r>
                    <m:t>k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′</m:t>
                  </m:r>
                </m:e>
              </m:d>
            </m:sup>
          </m:sSup>
          <m:sSub>
            <m:e>
              <m:r>
                <m:t>V</m:t>
              </m:r>
            </m:e>
            <m:sub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  <m:r>
                <m:rPr>
                  <m:sty m:val="p"/>
                </m:rPr>
                <m:t>′</m:t>
              </m:r>
              <m:r>
                <m:rPr>
                  <m:sty m:val="p"/>
                </m:rPr>
                <m:t>;</m:t>
              </m:r>
              <m:r>
                <m:t>λ</m:t>
              </m:r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在各个候选注入状态取值，就得到所有候选源的</w:t>
      </w:r>
      <m:oMath>
        <m:r>
          <m:t>F</m:t>
        </m:r>
      </m:oMath>
      <w:r>
        <w:t xml:space="preserve">。非观测时间步令</w:t>
      </w:r>
      <m:oMath>
        <m:sSub>
          <m:e>
            <m:r>
              <m:t>h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。年龄或释放时刻不同必须通过状态或对应kernel处理，不得重复使用不适合该年龄的响应。</w:t>
      </w:r>
    </w:p>
    <w:p>
      <w:pPr>
        <w:pStyle w:val="BodyText"/>
      </w:pPr>
      <w:r>
        <w:t xml:space="preserve">这是标准条件期望/Feynman–Kac型递推，不是新定理。计算上的目标是共享反向传播，而不是对每个源分别生成完整plume。</w:t>
      </w:r>
    </w:p>
    <w:bookmarkEnd w:id="25"/>
    <w:bookmarkStart w:id="26" w:name="组合实际释放规律不能默认poisson"/>
    <w:p>
      <w:pPr>
        <w:pStyle w:val="Heading2"/>
      </w:pPr>
      <w:r>
        <w:t xml:space="preserve">5.2 组合实际释放规律，不能默认Poisson</w:t>
      </w:r>
    </w:p>
    <w:p>
      <w:pPr>
        <w:pStyle w:val="FirstParagraph"/>
      </w:pPr>
      <w:r>
        <w:t xml:space="preserve">固定释放时刻/数量时：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L</m:t>
              </m:r>
            </m:e>
            <m:sub>
              <m:r>
                <m:t>s</m:t>
              </m:r>
              <m:r>
                <m:rPr>
                  <m:sty m:val="p"/>
                </m:rPr>
                <m:t>,</m:t>
              </m:r>
              <m:r>
                <m:t>θ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λ</m:t>
              </m:r>
            </m:e>
          </m:d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n"/>
            </m:naryPr>
            <m:sub>
              <m:r>
                <m:t>e</m:t>
              </m:r>
            </m:sub>
            <m:sup>
              <m:r>
                <m:t>​</m:t>
              </m:r>
            </m:sup>
            <m:e>
              <m:sSub>
                <m:e>
                  <m:r>
                    <m:t>F</m:t>
                  </m:r>
                </m:e>
                <m:sub>
                  <m:sSub>
                    <m:e>
                      <m:r>
                        <m:t>u</m:t>
                      </m:r>
                    </m:e>
                    <m:sub>
                      <m:r>
                        <m:t>e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t>θ</m:t>
                  </m:r>
                </m:sub>
              </m:sSub>
            </m:e>
          </m:nary>
          <m:d>
            <m:dPr>
              <m:begChr m:val="("/>
              <m:endChr m:val=")"/>
              <m:sepChr m:val=""/>
              <m:grow/>
            </m:dPr>
            <m:e>
              <m:r>
                <m:t>λ</m:t>
              </m:r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若各时段释放数</w:t>
      </w:r>
      <m:oMath>
        <m:sSub>
          <m:e>
            <m:r>
              <m:t>N</m:t>
            </m:r>
          </m:e>
          <m:sub>
            <m:r>
              <m:t>k</m:t>
            </m:r>
          </m:sub>
        </m:sSub>
      </m:oMath>
      <w:r>
        <w:t xml:space="preserve">条件独立，其概率生成函数为</w:t>
      </w:r>
      <m:oMath>
        <m:sSub>
          <m:e>
            <m:r>
              <m:t>G</m:t>
            </m:r>
          </m:e>
          <m:sub>
            <m:r>
              <m:t>k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z</m:t>
            </m:r>
          </m:e>
        </m:d>
        <m:r>
          <m:rPr>
            <m:sty m:val="p"/>
          </m:rPr>
          <m:t>=</m:t>
        </m:r>
        <m:r>
          <m:rPr>
            <m:sty m:val="p"/>
            <m:scr m:val="double-struck"/>
          </m:rPr>
          <m:t>E</m:t>
        </m:r>
        <m:d>
          <m:dPr>
            <m:begChr m:val="["/>
            <m:endChr m:val="]"/>
            <m:sepChr m:val=""/>
            <m:grow/>
          </m:dPr>
          <m:e>
            <m:sSup>
              <m:e>
                <m:r>
                  <m:t>z</m:t>
                </m:r>
              </m:e>
              <m:sup>
                <m:sSub>
                  <m:e>
                    <m:r>
                      <m:t>N</m:t>
                    </m:r>
                  </m:e>
                  <m:sub>
                    <m:r>
                      <m:t>k</m:t>
                    </m:r>
                  </m:sub>
                </m:sSub>
              </m:sup>
            </m:sSup>
          </m:e>
        </m:d>
      </m:oMath>
      <w:r>
        <w:t xml:space="preserve">，则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L</m:t>
              </m:r>
            </m:e>
            <m:sub>
              <m:r>
                <m:t>s</m:t>
              </m:r>
              <m:r>
                <m:rPr>
                  <m:sty m:val="p"/>
                </m:rPr>
                <m:t>,</m:t>
              </m:r>
              <m:r>
                <m:t>θ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λ</m:t>
              </m:r>
            </m:e>
          </m:d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n"/>
            </m:naryPr>
            <m:sub>
              <m:r>
                <m:t>k</m:t>
              </m:r>
            </m:sub>
            <m:sup>
              <m:r>
                <m:t>​</m:t>
              </m:r>
            </m:sup>
            <m:e>
              <m:sSub>
                <m:e>
                  <m:r>
                    <m:t>G</m:t>
                  </m:r>
                </m:e>
                <m:sub>
                  <m:r>
                    <m:t>k</m:t>
                  </m:r>
                </m:sub>
              </m:sSub>
            </m:e>
          </m:nary>
          <m:r>
            <m:t>​</m:t>
          </m:r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F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t>θ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λ</m:t>
                  </m:r>
                </m:e>
              </m:d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固定</w:t>
      </w:r>
      <m:oMath>
        <m:r>
          <m:t>b</m:t>
        </m:r>
      </m:oMath>
      <w:r>
        <w:t xml:space="preserve">个释放用</w:t>
      </w:r>
      <m:oMath>
        <m:r>
          <m:t>G</m:t>
        </m:r>
        <m:d>
          <m:dPr>
            <m:begChr m:val="("/>
            <m:endChr m:val=")"/>
            <m:sepChr m:val=""/>
            <m:grow/>
          </m:dPr>
          <m:e>
            <m:r>
              <m:t>z</m:t>
            </m:r>
          </m:e>
        </m:d>
        <m:r>
          <m:rPr>
            <m:sty m:val="p"/>
          </m:rPr>
          <m:t>=</m:t>
        </m:r>
        <m:sSup>
          <m:e>
            <m:r>
              <m:t>z</m:t>
            </m:r>
          </m:e>
          <m:sup>
            <m:r>
              <m:t>b</m:t>
            </m:r>
          </m:sup>
        </m:sSup>
      </m:oMath>
      <w:r>
        <w:t xml:space="preserve">；Poisson释放才用</w:t>
      </w:r>
      <m:oMath>
        <m:r>
          <m:t>G</m:t>
        </m:r>
        <m:d>
          <m:dPr>
            <m:begChr m:val="("/>
            <m:endChr m:val=")"/>
            <m:sepChr m:val=""/>
            <m:grow/>
          </m:dPr>
          <m:e>
            <m:r>
              <m:t>z</m:t>
            </m:r>
          </m:e>
        </m:d>
        <m:r>
          <m:rPr>
            <m:sty m:val="p"/>
          </m:rPr>
          <m:t>=</m:t>
        </m:r>
        <m:r>
          <m:rPr>
            <m:sty m:val="p"/>
          </m:rPr>
          <m:t>exp</m:t>
        </m:r>
        <m:d>
          <m:dPr>
            <m:begChr m:val="["/>
            <m:endChr m:val="]"/>
            <m:sepChr m:val=""/>
            <m:grow/>
          </m:dPr>
          <m:e>
            <m:r>
              <m:t>ρ</m:t>
            </m:r>
            <m:d>
              <m:dPr>
                <m:begChr m:val="("/>
                <m:endChr m:val=")"/>
                <m:sepChr m:val=""/>
                <m:grow/>
              </m:dPr>
              <m:e>
                <m:r>
                  <m:t>z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</m:e>
        </m:d>
      </m:oMath>
      <w:r>
        <w:t xml:space="preserve">。各时段相关则必须使用联合计数生成函数。未知释放率应以明确先验/合同处理，不能从真源标签或全部目标源bank估计。</w:t>
      </w:r>
    </w:p>
    <w:p>
      <w:pPr>
        <w:pStyle w:val="BodyText"/>
      </w:pPr>
      <w:r>
        <w:t xml:space="preserve">连续浓度对应Laplace变换；数值版本将贡献表示为多变量多项式的概率系数，并以卷积组合。多项式次数是浓度量化索引，</w:t>
      </w:r>
      <w:r>
        <w:rPr>
          <w:b/>
          <w:bCs/>
        </w:rPr>
        <w:t xml:space="preserve">不是物理分子数或encounter count</w:t>
      </w:r>
      <w:r>
        <w:t xml:space="preserve">。</w:t>
      </w:r>
    </w:p>
    <w:bookmarkEnd w:id="26"/>
    <w:bookmarkStart w:id="27" w:name="公共环境随机性放在乘积外积分"/>
    <w:p>
      <w:pPr>
        <w:pStyle w:val="Heading2"/>
      </w:pPr>
      <w:r>
        <w:t xml:space="preserve">5.3 公共环境随机性放在乘积外积分</w:t>
      </w:r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L</m:t>
              </m:r>
            </m:e>
            <m:sub>
              <m:r>
                <m:t>s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λ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c</m:t>
                  </m:r>
                </m:e>
                <m:sub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x</m:t>
                  </m:r>
                  <m:r>
                    <m:rPr>
                      <m:sty m:val="p"/>
                    </m:rPr>
                    <m:t>o</m:t>
                  </m:r>
                </m:sub>
              </m:sSub>
            </m:e>
          </m:d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sSub>
            <m:e>
              <m:r>
                <m:t>L</m:t>
              </m:r>
            </m:e>
            <m:sub>
              <m:r>
                <m:t>s</m:t>
              </m:r>
              <m:r>
                <m:rPr>
                  <m:sty m:val="p"/>
                </m:rPr>
                <m:t>,</m:t>
              </m:r>
              <m:r>
                <m:t>θ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λ</m:t>
              </m:r>
            </m:e>
          </m:d>
          <m:r>
            <m:t> </m:t>
          </m:r>
          <m:r>
            <m:t>p</m:t>
          </m:r>
          <m:d>
            <m:dPr>
              <m:begChr m:val="("/>
              <m:endChr m:val=")"/>
              <m:sepChr m:val=""/>
              <m:grow/>
            </m:dPr>
            <m:e>
              <m:r>
                <m:t>d</m:t>
              </m:r>
              <m:r>
                <m:t>θ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c</m:t>
                  </m:r>
                </m:e>
                <m:sub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x</m:t>
                  </m:r>
                  <m:r>
                    <m:rPr>
                      <m:sty m:val="p"/>
                    </m:rPr>
                    <m:t>o</m:t>
                  </m:r>
                </m:sub>
              </m:sSub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一般不等于</w:t>
      </w:r>
      <m:oMath>
        <m:nary>
          <m:naryPr>
            <m:chr m:val="∏"/>
            <m:limLoc m:val="undOvr"/>
            <m:subHide m:val="off"/>
            <m:supHide m:val="on"/>
          </m:naryPr>
          <m:sub>
            <m:r>
              <m:t>e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∫</m:t>
            </m:r>
          </m:e>
        </m:nary>
        <m:sSub>
          <m:e>
            <m:r>
              <m:t>F</m:t>
            </m:r>
          </m:e>
          <m:sub>
            <m:sSub>
              <m:e>
                <m:r>
                  <m:t>u</m:t>
                </m:r>
              </m:e>
              <m:sub>
                <m:r>
                  <m:t>e</m:t>
                </m:r>
              </m:sub>
            </m:sSub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,</m:t>
            </m:r>
            <m:r>
              <m:t>θ</m:t>
            </m:r>
          </m:sub>
        </m:sSub>
        <m:r>
          <m:t>p</m:t>
        </m:r>
        <m:d>
          <m:dPr>
            <m:begChr m:val="("/>
            <m:endChr m:val=")"/>
            <m:sepChr m:val=""/>
            <m:grow/>
          </m:dPr>
          <m:e>
            <m:r>
              <m:t>d</m:t>
            </m:r>
            <m:r>
              <m:t>θ</m:t>
            </m:r>
          </m:e>
        </m:d>
      </m:oMath>
      <w:r>
        <w:t xml:space="preserve">。后者错误地让每个团拥有独立环境，可能删掉影响源辨别的公共随机性。</w:t>
      </w:r>
    </w:p>
    <w:p>
      <w:pPr>
        <w:pStyle w:val="BodyText"/>
      </w:pPr>
      <w:r>
        <w:t xml:space="preserve">在同分布的</w:t>
      </w:r>
      <m:oMath>
        <m:r>
          <m:t>B</m:t>
        </m:r>
      </m:oMath>
      <w:r>
        <w:t xml:space="preserve">个条件独立释放这一特例中，令</w:t>
      </w:r>
      <m:oMath>
        <m:sSub>
          <m:e>
            <m:r>
              <m:t>μ</m:t>
            </m:r>
          </m:e>
          <m:sub>
            <m:r>
              <m:t>θ</m:t>
            </m:r>
          </m:sub>
        </m:sSub>
        <m:r>
          <m:rPr>
            <m:sty m:val="p"/>
          </m:rPr>
          <m:t>=</m:t>
        </m:r>
        <m:r>
          <m:rPr>
            <m:sty m:val="p"/>
            <m:scr m:val="double-struck"/>
          </m:rPr>
          <m:t>E</m:t>
        </m:r>
        <m:d>
          <m:dPr>
            <m:begChr m:val="["/>
            <m:endChr m:val="]"/>
            <m:sepChr m:val=""/>
            <m:grow/>
          </m:dPr>
          <m:e>
            <m:r>
              <m:t>A</m:t>
            </m:r>
            <m:r>
              <m:rPr>
                <m:sty m:val="p"/>
              </m:rPr>
              <m:t>∣</m:t>
            </m:r>
            <m:r>
              <m:t>θ</m:t>
            </m:r>
          </m:e>
        </m:d>
      </m:oMath>
      <w:r>
        <w:t xml:space="preserve">、</w:t>
      </w:r>
      <m:oMath>
        <m:sSub>
          <m:e>
            <m:r>
              <m:t>Σ</m:t>
            </m:r>
          </m:e>
          <m:sub>
            <m:r>
              <m:t>θ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Cov</m:t>
        </m:r>
        <m:d>
          <m:dPr>
            <m:begChr m:val="("/>
            <m:endChr m:val=")"/>
            <m:sepChr m:val=""/>
            <m:grow/>
          </m:dPr>
          <m:e>
            <m:r>
              <m:t>A</m:t>
            </m:r>
            <m:r>
              <m:rPr>
                <m:sty m:val="p"/>
              </m:rPr>
              <m:t>∣</m:t>
            </m:r>
            <m:r>
              <m:t>θ</m:t>
            </m:r>
          </m:e>
        </m:d>
      </m:oMath>
      <w:r>
        <w:t xml:space="preserve">，则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=</m:t>
          </m:r>
          <m:r>
            <m:t>B</m:t>
          </m:r>
          <m:r>
            <m:t> </m:t>
          </m:r>
          <m:r>
            <m:rPr>
              <m:sty m:val="p"/>
              <m:scr m:val="double-struck"/>
            </m:rPr>
            <m:t>E</m:t>
          </m:r>
          <m:sSub>
            <m:e>
              <m:r>
                <m:t>Σ</m:t>
              </m:r>
            </m:e>
            <m:sub>
              <m:r>
                <m:t>θ</m:t>
              </m:r>
            </m:sub>
          </m:sSub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Cov</m:t>
          </m:r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μ</m:t>
                  </m:r>
                </m:e>
                <m:sub>
                  <m:r>
                    <m:t>θ</m:t>
                  </m:r>
                </m:sub>
              </m:sSub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第一项为团级随机性，第二项为公共环境变化。即使环境先验对所有源相同，其源响应一般不同，因此不能统一投影删除。该式要求相应矩存在；这是普通全协方差分解，不是已验证的GADEN规律。</w:t>
      </w:r>
    </w:p>
    <w:bookmarkEnd w:id="27"/>
    <w:bookmarkStart w:id="28" w:name="合法似然和pmfs概率图"/>
    <w:p>
      <w:pPr>
        <w:pStyle w:val="Heading2"/>
      </w:pPr>
      <w:r>
        <w:t xml:space="preserve">5.4 合法似然和PMFS概率图</w:t>
      </w:r>
    </w:p>
    <w:p>
      <w:pPr>
        <w:pStyle w:val="FirstParagraph"/>
      </w:pPr>
      <w:r>
        <w:t xml:space="preserve">令</w:t>
      </w:r>
      <m:oMath>
        <m:sSub>
          <m:e>
            <m:r>
              <m:t>ν</m:t>
            </m:r>
          </m:e>
          <m:sub>
            <m:r>
              <m:t>s</m:t>
            </m:r>
            <m:r>
              <m:rPr>
                <m:sty m:val="p"/>
              </m:rPr>
              <m:t>,</m:t>
            </m:r>
            <m:r>
              <m:t>θ</m:t>
            </m:r>
          </m:sub>
        </m:sSub>
      </m:oMath>
      <w:r>
        <w:t xml:space="preserve">为反演生成泛函得到的浓度向量分布，</w:t>
      </w:r>
      <m:oMath>
        <m:r>
          <m:t>R</m:t>
        </m:r>
        <m:d>
          <m:dPr>
            <m:begChr m:val="("/>
            <m:endChr m:val=")"/>
            <m:sepChr m:val="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</m:oMath>
      <w:r>
        <w:t xml:space="preserve">为明确的观测通道，则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ℓ</m:t>
              </m:r>
            </m:e>
            <m:sub>
              <m:r>
                <m:t>s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y</m:t>
              </m:r>
            </m:e>
          </m:d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t>​</m:t>
          </m:r>
          <m:r>
            <m:rPr>
              <m:sty m:val="p"/>
            </m:rPr>
            <m:t>∫</m:t>
          </m:r>
          <m:r>
            <m:t>R</m:t>
          </m:r>
          <m:d>
            <m:dPr>
              <m:begChr m:val="("/>
              <m:endChr m:val=")"/>
              <m:sepChr m:val="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e>
          </m:d>
          <m:r>
            <m:t> </m:t>
          </m:r>
          <m:sSub>
            <m:e>
              <m:r>
                <m:t>ν</m:t>
              </m:r>
            </m:e>
            <m:sub>
              <m:r>
                <m:t>s</m:t>
              </m:r>
              <m:r>
                <m:rPr>
                  <m:sty m:val="p"/>
                </m:rPr>
                <m:t>,</m:t>
              </m:r>
              <m:r>
                <m:t>θ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d</m:t>
              </m:r>
              <m:r>
                <m:t>x</m:t>
              </m:r>
            </m:e>
          </m:d>
          <m:r>
            <m:t> </m:t>
          </m:r>
          <m:r>
            <m:t>p</m:t>
          </m:r>
          <m:d>
            <m:dPr>
              <m:begChr m:val="("/>
              <m:endChr m:val=")"/>
              <m:sepChr m:val=""/>
              <m:grow/>
            </m:dPr>
            <m:e>
              <m:r>
                <m:t>d</m:t>
              </m:r>
              <m:r>
                <m:t>θ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c</m:t>
                  </m:r>
                </m:e>
                <m:sub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x</m:t>
                  </m:r>
                  <m:r>
                    <m:rPr>
                      <m:sty m:val="p"/>
                    </m:rPr>
                    <m:t>o</m:t>
                  </m:r>
                </m:sub>
              </m:sSub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q</m:t>
          </m:r>
          <m:d>
            <m:dPr>
              <m:begChr m:val="("/>
              <m:endChr m:val=")"/>
              <m:sepChr m:val=""/>
              <m:grow/>
            </m:dPr>
            <m:e>
              <m:r>
                <m:t>s</m:t>
              </m:r>
              <m:r>
                <m:rPr>
                  <m:sty m:val="p"/>
                </m:rPr>
                <m:t>∣</m:t>
              </m:r>
              <m:r>
                <m:t>y</m:t>
              </m:r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π</m:t>
                  </m:r>
                </m:e>
                <m:sub>
                  <m:r>
                    <m:t>s</m:t>
                  </m:r>
                </m:sub>
              </m:sSub>
              <m:sSub>
                <m:e>
                  <m:r>
                    <m:rPr>
                      <m:sty m:val="p"/>
                    </m:rPr>
                    <m:t>ℓ</m:t>
                  </m:r>
                </m:e>
                <m:sub>
                  <m:r>
                    <m:t>s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y</m:t>
                  </m:r>
                </m:e>
              </m:d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b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π</m:t>
                      </m:r>
                    </m:e>
                    <m:sub>
                      <m:r>
                        <m:t>b</m:t>
                      </m:r>
                    </m:sub>
                  </m:sSub>
                </m:e>
              </m:nary>
              <m:sSub>
                <m:e>
                  <m:r>
                    <m:rPr>
                      <m:sty m:val="p"/>
                    </m:rPr>
                    <m:t>ℓ</m:t>
                  </m:r>
                </m:e>
                <m:sub>
                  <m:r>
                    <m:t>b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y</m:t>
                  </m:r>
                </m:e>
              </m: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同一个未知泄漏的早期记录属于</w:t>
      </w:r>
      <m:oMath>
        <m:r>
          <m:t>y</m:t>
        </m:r>
      </m:oMath>
      <w:r>
        <w:t xml:space="preserve">的前缀，不是独立的环境校准数据。更新时使用联合似然的比值</w:t>
      </w:r>
      <m:oMath>
        <m:sSub>
          <m:e>
            <m:r>
              <m:rPr>
                <m:sty m:val="p"/>
              </m:rPr>
              <m:t>ℓ</m:t>
            </m:r>
          </m:e>
          <m:sub>
            <m:r>
              <m:t>s</m:t>
            </m:r>
          </m:sub>
        </m:sSub>
        <m:d>
          <m:dPr>
            <m:begChr m:val="("/>
            <m:endChr m:val=")"/>
            <m:sepChr m:val=""/>
            <m:grow/>
          </m:dPr>
          <m:e>
            <m:sSub>
              <m:e>
                <m:r>
                  <m:t>y</m:t>
                </m:r>
              </m:e>
              <m:sub>
                <m:r>
                  <m:t>1</m:t>
                </m:r>
                <m:r>
                  <m:rPr>
                    <m:sty m:val="p"/>
                  </m:rPr>
                  <m:t>:</m:t>
                </m:r>
                <m:r>
                  <m:t>t</m:t>
                </m:r>
              </m:sub>
            </m:sSub>
          </m:e>
        </m:d>
        <m:r>
          <m:rPr>
            <m:sty m:val="p"/>
          </m:rPr>
          <m:t>/</m:t>
        </m:r>
        <m:sSub>
          <m:e>
            <m:r>
              <m:rPr>
                <m:sty m:val="p"/>
              </m:rPr>
              <m:t>ℓ</m:t>
            </m:r>
          </m:e>
          <m:sub>
            <m:r>
              <m:t>s</m:t>
            </m:r>
          </m:sub>
        </m:sSub>
        <m:d>
          <m:dPr>
            <m:begChr m:val="("/>
            <m:endChr m:val=")"/>
            <m:sepChr m:val=""/>
            <m:grow/>
          </m:dPr>
          <m:e>
            <m:sSub>
              <m:e>
                <m:r>
                  <m:t>y</m:t>
                </m:r>
              </m:e>
              <m:sub>
                <m:r>
                  <m:t>1</m:t>
                </m:r>
                <m:r>
                  <m:rPr>
                    <m:sty m:val="p"/>
                  </m:rPr>
                  <m:t>:</m:t>
                </m:r>
                <m:r>
                  <m:t>t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</m:e>
        </m:d>
      </m:oMath>
      <w:r>
        <w:t xml:space="preserve">，不能把相互重叠的窗口独立连乘。</w:t>
      </w:r>
    </w:p>
    <w:p>
      <w:pPr>
        <w:pStyle w:val="BodyText"/>
      </w:pPr>
      <w:r>
        <w:t xml:space="preserve">本包同时实现无噪声量化区间的精确概率和高斯测量通道。候选对观测赋零概率时保留零；全部候选均为零时显式报告模型支持失配，不回退均匀分布。</w:t>
      </w:r>
      <w:r>
        <w:rPr>
          <w:b/>
          <w:bCs/>
        </w:rPr>
        <w:t xml:space="preserve">Gaussian是例子的传感器噪声，不是拟合的plume分布。</w:t>
      </w:r>
      <w:r>
        <w:t xml:space="preserve"> </w:t>
      </w:r>
      <w:r>
        <w:t xml:space="preserve">对无噪声GADEN输出，应使用已冻结的数值量化事件概率，或明确的模拟传感器合同；不得为了有限NLL凭空添加噪声或probability floor。</w:t>
      </w:r>
    </w:p>
    <w:bookmarkEnd w:id="28"/>
    <w:bookmarkEnd w:id="29"/>
    <w:bookmarkStart w:id="30" w:name="这项方法究竟比均值协方差多计算了什么"/>
    <w:p>
      <w:pPr>
        <w:pStyle w:val="Heading1"/>
      </w:pPr>
      <w:r>
        <w:t xml:space="preserve">6. 这项方法究竟比均值/协方差多计算了什么</w:t>
      </w:r>
    </w:p>
    <w:p>
      <w:pPr>
        <w:pStyle w:val="FirstParagraph"/>
      </w:pPr>
      <w:r>
        <w:t xml:space="preserve">考虑两个数学构造的单次响应：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:</m:t>
          </m:r>
          <m:r>
            <m:t> </m:t>
          </m:r>
          <m:r>
            <m:t>P</m:t>
          </m:r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d>
          <m:r>
            <m:rPr>
              <m:sty m:val="p"/>
            </m:rPr>
            <m:t>=</m:t>
          </m:r>
          <m:r>
            <m:t>P</m:t>
          </m:r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d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/</m:t>
          </m:r>
          <m:r>
            <m:t>2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B</m:t>
          </m:r>
          <m:r>
            <m:rPr>
              <m:sty m:val="p"/>
            </m:rPr>
            <m:t>:</m:t>
          </m:r>
          <m:r>
            <m:t> </m:t>
          </m:r>
          <m:r>
            <m:t>P</m:t>
          </m:r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d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/</m:t>
          </m:r>
          <m:r>
            <m:t>3</m:t>
          </m:r>
          <m:r>
            <m:rPr>
              <m:sty m:val="p"/>
            </m:rPr>
            <m:t>,</m:t>
          </m:r>
          <m:r>
            <m:t> </m:t>
          </m:r>
          <m:r>
            <m:t>P</m:t>
          </m:r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d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/</m:t>
          </m:r>
          <m:r>
            <m:t>2</m:t>
          </m:r>
          <m:r>
            <m:rPr>
              <m:sty m:val="p"/>
            </m:rPr>
            <m:t>,</m:t>
          </m:r>
          <m:r>
            <m:t> </m:t>
          </m:r>
          <m:r>
            <m:t>P</m:t>
          </m:r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d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/</m:t>
          </m:r>
          <m:r>
            <m:t>6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两者均值均为1、方差均为1。使用相同均值和方差的Gaussian模型无法区分它们；等先验下准确率为1/2。使用完整离散分布，最优准确率为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max</m:t>
              </m:r>
            </m:e>
          </m:nary>
          <m:r>
            <m:rPr>
              <m:sty m:val="p"/>
            </m:rPr>
            <m:t>{</m:t>
          </m:r>
          <m:sSub>
            <m:e>
              <m:r>
                <m:t>p</m:t>
              </m:r>
            </m:e>
            <m:sub>
              <m:r>
                <m:t>A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,</m:t>
          </m:r>
          <m:sSub>
            <m:e>
              <m:r>
                <m:t>p</m:t>
              </m:r>
            </m:e>
            <m:sub>
              <m:r>
                <m:t>B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}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5</m:t>
              </m:r>
            </m:num>
            <m:den>
              <m:r>
                <m:t>6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这不是GADEN实验结果，也不证明任何生成函数算法优于真实Bayes。它证明新代码所求对象确实不止二阶统计。普通充分数据的非参数密度模型也能利用这一信息，必须作为强反解释。</w:t>
      </w:r>
    </w:p>
    <w:p>
      <w:pPr>
        <w:pStyle w:val="BodyText"/>
      </w:pPr>
      <w:r>
        <w:t xml:space="preserve">另一个反例是公共环境使两个释放单位“全部为0”或“全部为1”。正确总量为0/2各一半；错误地先平均环境再独立组合，会凭空产生一半概率的总量1。本轮代码检查覆盖了这一错误。</w:t>
      </w:r>
    </w:p>
    <w:p>
      <w:pPr>
        <w:pStyle w:val="BodyText"/>
      </w:pPr>
      <w:r>
        <w:t xml:space="preserve">第三个反例关乎模拟器：把质量</w:t>
      </w:r>
      <m:oMath>
        <m:r>
          <m:t>a</m:t>
        </m:r>
      </m:oMath>
      <w:r>
        <w:t xml:space="preserve">的一个随机filament分成</w:t>
      </w:r>
      <m:oMath>
        <m:r>
          <m:t>k</m:t>
        </m:r>
      </m:oMath>
      <w:r>
        <w:t xml:space="preserve">个质量</w:t>
      </w:r>
      <m:oMath>
        <m:r>
          <m:t>a</m:t>
        </m:r>
        <m:r>
          <m:rPr>
            <m:sty m:val="p"/>
          </m:rPr>
          <m:t>/</m:t>
        </m:r>
        <m:r>
          <m:t>k</m:t>
        </m:r>
      </m:oMath>
      <w:r>
        <w:t xml:space="preserve">、轨迹完全耦合的子团，物理总观测不变；若改成独立轨迹，方差会缩小到原来的</w:t>
      </w:r>
      <m:oMath>
        <m:r>
          <m:t>1</m:t>
        </m:r>
        <m:r>
          <m:rPr>
            <m:sty m:val="p"/>
          </m:rPr>
          <m:t>/</m:t>
        </m:r>
        <m:r>
          <m:t>k</m:t>
        </m:r>
      </m:oMath>
      <w:r>
        <w:t xml:space="preserve">。因此“完整分布”可能精确描述的是模拟器的packetization。</w:t>
      </w:r>
      <w:r>
        <w:rPr>
          <w:b/>
          <w:bCs/>
        </w:rPr>
        <w:t xml:space="preserve">没有跨合理离散化或独立实验支撑时，不得宣称发现真实湍流机制。</w:t>
      </w:r>
    </w:p>
    <w:bookmarkEnd w:id="30"/>
    <w:bookmarkStart w:id="34" w:name="实际实现可计算性和误差边界"/>
    <w:p>
      <w:pPr>
        <w:pStyle w:val="Heading1"/>
      </w:pPr>
      <w:r>
        <w:t xml:space="preserve">7. 实际实现、可计算性和误差边界</w:t>
      </w:r>
    </w:p>
    <w:bookmarkStart w:id="31" w:name="本包完成的部分"/>
    <w:p>
      <w:pPr>
        <w:pStyle w:val="Heading2"/>
      </w:pPr>
      <w:r>
        <w:t xml:space="preserve">本包完成的部分</w:t>
      </w:r>
    </w:p>
    <w:p>
      <w:pPr>
        <w:pStyle w:val="FirstParagraph"/>
      </w:pPr>
      <w:r>
        <w:rPr>
          <w:rStyle w:val="VerbatimChar"/>
        </w:rPr>
        <w:t xml:space="preserve">code/emission_transport.py</w:t>
      </w:r>
      <w:r>
        <w:t xml:space="preserve">提供：所有起点共享的反向概率多项式；确定性/有限计数释放组合；共享环境的正确混合；源概率图；二维守恒上风扩散示例kernel；明确的atom预算阻断。</w:t>
      </w:r>
    </w:p>
    <w:p>
      <w:pPr>
        <w:pStyle w:val="BodyText"/>
      </w:pPr>
      <w:r>
        <w:rPr>
          <w:rStyle w:val="VerbatimChar"/>
        </w:rPr>
        <w:t xml:space="preserve">code/test_emission_transport.py</w:t>
      </w:r>
      <w:r>
        <w:t xml:space="preserve">完成17项检查。所有起点/释放时刻的反向法与独立前向路径枚举的最大概率差为</w:t>
      </w:r>
      <m:oMath>
        <m:r>
          <m:t>5.55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17</m:t>
            </m:r>
          </m:sup>
        </m:sSup>
      </m:oMath>
      <w:r>
        <w:t xml:space="preserve">。</w:t>
      </w:r>
    </w:p>
    <w:p>
      <w:pPr>
        <w:pStyle w:val="BodyText"/>
      </w:pPr>
      <w:r>
        <w:rPr>
          <w:rStyle w:val="VerbatimChar"/>
        </w:rPr>
        <w:t xml:space="preserve">code/demo_168.py</w:t>
      </w:r>
      <w:r>
        <w:t xml:space="preserve">在一个12×14合成格点模型上，对两个观测和两个固定释放求出168源完整概率图。总质量为1，候选分布最大质量偏差为</w:t>
      </w:r>
      <m:oMath>
        <m:r>
          <m:t>6.66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16</m:t>
            </m:r>
          </m:sup>
        </m:sSup>
      </m:oMath>
      <w:r>
        <w:t xml:space="preserve">。</w:t>
      </w:r>
      <w:r>
        <w:rPr>
          <w:b/>
          <w:bCs/>
        </w:rPr>
        <w:t xml:space="preserve">不是168个GADEN源实验，也不是实时性能基准。</w:t>
      </w:r>
    </w:p>
    <w:bookmarkEnd w:id="31"/>
    <w:bookmarkStart w:id="32" w:name="不能隐瞒的复杂度"/>
    <w:p>
      <w:pPr>
        <w:pStyle w:val="Heading2"/>
      </w:pPr>
      <w:r>
        <w:t xml:space="preserve">不能隐瞒的复杂度</w:t>
      </w:r>
    </w:p>
    <w:p>
      <w:pPr>
        <w:pStyle w:val="FirstParagraph"/>
      </w:pPr>
      <w:r>
        <w:t xml:space="preserve">单个变换点、稀疏转移下，反向步骤成本约为</w:t>
      </w:r>
      <m:oMath>
        <m:r>
          <m:t>O</m:t>
        </m:r>
        <m:d>
          <m:dPr>
            <m:begChr m:val="("/>
            <m:endChr m:val=")"/>
            <m:sepChr m:val=""/>
            <m:grow/>
          </m:dPr>
          <m:e>
            <m:r>
              <m:t>T</m:t>
            </m:r>
            <m:r>
              <m:rPr>
                <m:sty m:val="p"/>
              </m:rPr>
              <m:t>nnz</m:t>
            </m:r>
            <m:r>
              <m:t>P</m:t>
            </m:r>
          </m:e>
        </m:d>
      </m:oMath>
      <w:r>
        <w:t xml:space="preserve">；对</w:t>
      </w:r>
      <m:oMath>
        <m:r>
          <m:t>Q</m:t>
        </m:r>
      </m:oMath>
      <w:r>
        <w:t xml:space="preserve">个变换点需乘以</w:t>
      </w:r>
      <m:oMath>
        <m:r>
          <m:t>Q</m:t>
        </m:r>
      </m:oMath>
      <w:r>
        <w:t xml:space="preserve">。离散概率多项式的项数</w:t>
      </w:r>
      <m:oMath>
        <m:r>
          <m:t>M</m:t>
        </m:r>
      </m:oMath>
      <w:r>
        <w:t xml:space="preserve">可能随观测维数急增，卷积还有额外成本。它不是“任意300维分布一次PDE就算完”。</w:t>
      </w:r>
    </w:p>
    <w:p>
      <w:pPr>
        <w:pStyle w:val="BodyText"/>
      </w:pPr>
      <w:r>
        <w:t xml:space="preserve">源码超预算直接抛出</w:t>
      </w:r>
      <w:r>
        <w:rPr>
          <w:rStyle w:val="VerbatimChar"/>
        </w:rPr>
        <w:t xml:space="preserve">ComputationBudgetExceeded</w:t>
      </w:r>
      <w:r>
        <w:t xml:space="preserve">，不截断概率再归一化。合成小模型的速度不能外推真实房屋。实际版本需要稀疏网格、年龄状态、边界处理和数值误差核查；这些属于实质实现工作，不是已经完成的工程接口。</w:t>
      </w:r>
    </w:p>
    <w:bookmarkEnd w:id="32"/>
    <w:bookmarkStart w:id="33" w:name="浓度离散化也需要误差账户"/>
    <w:p>
      <w:pPr>
        <w:pStyle w:val="Heading2"/>
      </w:pPr>
      <w:r>
        <w:t xml:space="preserve">浓度离散化也需要误差账户</w:t>
      </w:r>
    </w:p>
    <w:p>
      <w:pPr>
        <w:pStyle w:val="FirstParagraph"/>
      </w:pPr>
      <w:r>
        <w:t xml:space="preserve">若每个释放单位每坐标舍入误差不超过</w:t>
      </w:r>
      <m:oMath>
        <m:sSub>
          <m:e>
            <m:r>
              <m:t>δ</m:t>
            </m:r>
          </m:e>
          <m:sub>
            <m:r>
              <m:t>j</m:t>
            </m:r>
          </m:sub>
        </m:sSub>
        <m:r>
          <m:rPr>
            <m:sty m:val="p"/>
          </m:rPr>
          <m:t>/</m:t>
        </m:r>
        <m:r>
          <m:t>2</m:t>
        </m:r>
      </m:oMath>
      <w:r>
        <w:t xml:space="preserve">，固定总数</w:t>
      </w:r>
      <m:oMath>
        <m:r>
          <m:t>B</m:t>
        </m:r>
      </m:oMath>
      <w:r>
        <w:t xml:space="preserve">时总误差至多</w:t>
      </w:r>
      <m:oMath>
        <m:r>
          <m:t>B</m:t>
        </m:r>
        <m:sSub>
          <m:e>
            <m:r>
              <m:t>δ</m:t>
            </m:r>
          </m:e>
          <m:sub>
            <m:r>
              <m:t>j</m:t>
            </m:r>
          </m:sub>
        </m:sSub>
        <m:r>
          <m:rPr>
            <m:sty m:val="p"/>
          </m:rPr>
          <m:t>/</m:t>
        </m:r>
        <m:r>
          <m:t>2</m:t>
        </m:r>
      </m:oMath>
      <w:r>
        <w:t xml:space="preserve">。不能只说bin很细就忽略大量释放的累积误差。无噪声观测应计算物理量化区间的概率，并给边界不确定质量上下界。</w:t>
      </w:r>
    </w:p>
    <w:p>
      <w:pPr>
        <w:pStyle w:val="BodyText"/>
      </w:pPr>
      <w:r>
        <w:t xml:space="preserve">若所有候选满足</w:t>
      </w:r>
      <m:oMath>
        <m:d>
          <m:dPr>
            <m:begChr m:val="|"/>
            <m:endChr m:val="|"/>
            <m:sepChr m:val=""/>
            <m:grow/>
          </m:dPr>
          <m:e>
            <m:r>
              <m:rPr>
                <m:sty m:val="p"/>
              </m:rPr>
              <m:t>log</m:t>
            </m:r>
            <m:sSub>
              <m:e>
                <m:acc>
                  <m:accPr>
                    <m:chr m:val="̃"/>
                  </m:accPr>
                  <m:e>
                    <m:r>
                      <m:rPr>
                        <m:sty m:val="p"/>
                      </m:rPr>
                      <m:t>ℓ</m:t>
                    </m:r>
                  </m:e>
                </m:acc>
              </m:e>
              <m:sub>
                <m:r>
                  <m:t>s</m:t>
                </m:r>
              </m:sub>
            </m:sSub>
            <m:r>
              <m:rPr>
                <m:sty m:val="p"/>
              </m:rPr>
              <m:t>−</m:t>
            </m:r>
            <m:r>
              <m:rPr>
                <m:sty m:val="p"/>
              </m:rPr>
              <m:t>log</m:t>
            </m:r>
            <m:sSub>
              <m:e>
                <m:r>
                  <m:rPr>
                    <m:sty m:val="p"/>
                  </m:rPr>
                  <m:t>ℓ</m:t>
                </m:r>
              </m:e>
              <m:sub>
                <m:r>
                  <m:t>s</m:t>
                </m:r>
              </m:sub>
            </m:sSub>
          </m:e>
        </m:d>
        <m:r>
          <m:rPr>
            <m:sty m:val="p"/>
          </m:rPr>
          <m:t>≤</m:t>
        </m:r>
        <m:r>
          <m:t>ϵ</m:t>
        </m:r>
      </m:oMath>
      <w:r>
        <w:t xml:space="preserve">，则归一化后</w:t>
      </w:r>
      <m:oMath>
        <m:d>
          <m:dPr>
            <m:begChr m:val="|"/>
            <m:endChr m:val="|"/>
            <m:sepChr m:val=""/>
            <m:grow/>
          </m:dPr>
          <m:e>
            <m:r>
              <m:rPr>
                <m:sty m:val="p"/>
              </m:rPr>
              <m:t>log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s</m:t>
                </m:r>
              </m:sub>
            </m:sSub>
            <m:r>
              <m:rPr>
                <m:sty m:val="p"/>
              </m:rPr>
              <m:t>−</m:t>
            </m:r>
            <m:r>
              <m:rPr>
                <m:sty m:val="p"/>
              </m:rPr>
              <m:t>log</m:t>
            </m:r>
            <m:sSub>
              <m:e>
                <m:r>
                  <m:t>q</m:t>
                </m:r>
              </m:e>
              <m:sub>
                <m:r>
                  <m:t>s</m:t>
                </m:r>
              </m:sub>
            </m:sSub>
          </m:e>
        </m:d>
        <m:r>
          <m:rPr>
            <m:sty m:val="p"/>
          </m:rPr>
          <m:t>≤</m:t>
        </m:r>
        <m:r>
          <m:t>2</m:t>
        </m:r>
        <m:r>
          <m:t>ϵ</m:t>
        </m:r>
      </m:oMath>
      <w:r>
        <w:t xml:space="preserve">。证明只用log-normalizer同样落在</w:t>
      </w:r>
      <m:oMath>
        <m:r>
          <m:rPr>
            <m:sty m:val="p"/>
          </m:rPr>
          <m:t>±</m:t>
        </m:r>
        <m:r>
          <m:t>ϵ</m:t>
        </m:r>
      </m:oMath>
      <w:r>
        <w:t xml:space="preserve">以内。这是标准界，不能宣称原创。</w:t>
      </w:r>
    </w:p>
    <w:p>
      <w:pPr>
        <w:pStyle w:val="BodyText"/>
      </w:pPr>
      <w:r>
        <w:t xml:space="preserve">重要的是：小绝对概率误差不保证小log-score误差。极小真源概率附近必须控制相对误差或报告计算不可判定，不能重演NLL极端值被忽略的问题。</w:t>
      </w:r>
    </w:p>
    <w:bookmarkEnd w:id="33"/>
    <w:bookmarkEnd w:id="34"/>
    <w:bookmarkStart w:id="38" w:name="唯一第一刀直接检验完整分布的源判别与计算价值"/>
    <w:p>
      <w:pPr>
        <w:pStyle w:val="Heading1"/>
      </w:pPr>
      <w:r>
        <w:t xml:space="preserve">8. 唯一第一刀：直接检验完整分布的源判别与计算价值</w:t>
      </w:r>
    </w:p>
    <w:p>
      <w:pPr>
        <w:pStyle w:val="FirstParagraph"/>
      </w:pPr>
      <w:r>
        <w:rPr>
          <w:b/>
          <w:bCs/>
        </w:rPr>
        <w:t xml:space="preserve">名称只是工作描述：已知输运模型下、全168源的随机响应分布开发检验。不是新的主创新确认G0。</w:t>
      </w:r>
      <w:r>
        <w:t xml:space="preserve"> </w:t>
      </w:r>
      <w:r>
        <w:t xml:space="preserve">全部使用已经OPEN的House02/W0资产；0条新plume；不开H01 DEV、House03；不恢复旧路线。</w:t>
      </w:r>
    </w:p>
    <w:bookmarkStart w:id="35" w:name="固定任务与数据角色"/>
    <w:p>
      <w:pPr>
        <w:pStyle w:val="Heading2"/>
      </w:pPr>
      <w:r>
        <w:t xml:space="preserve">固定任务与数据角色</w:t>
      </w:r>
    </w:p>
    <w:p>
      <w:pPr>
        <w:pStyle w:val="FirstParagraph"/>
      </w:pPr>
      <w:r>
        <w:t xml:space="preserve">采用168个CENTRAL候选和均匀先验。对P_G1A的全部30个probe分别定义一个独立任务协议：同一位置，在合同中的第一个与最后一个采样时刻各读取一次浓度。所有30个协议全部报告并等权汇总；不挑表现好的probe。</w:t>
      </w:r>
    </w:p>
    <w:p>
      <w:pPr>
        <w:pStyle w:val="BodyText"/>
      </w:pPr>
      <w:r>
        <w:t xml:space="preserve">每个任务只读取该未知源的一对浓度，不把30个位置当作一架无人机同时拥有的输入。空间pooled probe应明确为原虚拟传感器的观测合同，尚不是实飞点传感器验证。两个快照不是first-passage或连续事件计数。</w:t>
      </w:r>
    </w:p>
    <w:p>
      <w:pPr>
        <w:pStyle w:val="BodyText"/>
      </w:pPr>
      <w:r>
        <w:t xml:space="preserve">为何第一刀只用二维观测：当前精确稀疏分布求解器的组合复杂度已明确；先检验“从实际primitive得到的非高斯分布是否对定位有独立价值”，不先启动300维近似网络。二维PASS只支持这项窄机制，不自动证明全轨迹或实飞。</w:t>
      </w:r>
    </w:p>
    <w:p>
      <w:pPr>
        <w:pStyle w:val="BodyText"/>
      </w:pPr>
      <w:r>
        <w:t xml:space="preserve">新方法拟合不读取目标多源plume bank；输入为锁定的物理kernel、释放合同和观测算子。现有16条/源作为OPEN开发压力测试。学习型对照使用既有12/4划分；这些不是独立新target。每个源/realization的30个probe任务相关，统计不能当成80,640个独立样本。</w:t>
      </w:r>
    </w:p>
    <w:bookmarkEnd w:id="35"/>
    <w:bookmarkStart w:id="36" w:name="三个强普通对照同一批执行"/>
    <w:p>
      <w:pPr>
        <w:pStyle w:val="Heading2"/>
      </w:pPr>
      <w:r>
        <w:t xml:space="preserve">三个强普通对照，同一批执行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同一物理kernel的精确均值＋完整协方差Gaussian。</w:t>
      </w:r>
      <w:r>
        <w:t xml:space="preserve"> </w:t>
      </w:r>
      <w:r>
        <w:t xml:space="preserve">矩直接由相同生成法取得，不用n=12噪声估计故意削弱基线。这隔离高阶分布结构的价值。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标准逐源概率前推/抽样近似。</w:t>
      </w:r>
      <w:r>
        <w:t xml:space="preserve"> </w:t>
      </w:r>
      <w:r>
        <w:t xml:space="preserve">与新方法使用相同primitive和释放模型，比较相同分布精度下的计算/内存成本；不要求新法超过正确模型的精确Bayes。如果0新plume限制下缺少可复用抽样，使用标准逐源有限状态前推作数值基线，不追加完整plume。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12-reference普通稳健密度对照。</w:t>
      </w:r>
      <w:r>
        <w:t xml:space="preserve"> </w:t>
      </w:r>
      <w:r>
        <w:t xml:space="preserve">Gaussian、Student-t和二维KDE在reference内完成有限选择；其目标环境多源reference是显式的oracle对照，不伪称合法部署context。它用于挑战模型是否只是比脆弱Gaussian好。</w:t>
      </w:r>
    </w:p>
    <w:p>
      <w:pPr>
        <w:pStyle w:val="FirstParagraph"/>
      </w:pPr>
      <w:r>
        <w:t xml:space="preserve">普通Bayes归一化和使用生成函数本身不算优势。候选若只与同等条件的标准概率前推等价、既不降低代价，也不解决其明确限制，就没有主创新资格。</w:t>
      </w:r>
    </w:p>
    <w:bookmarkEnd w:id="36"/>
    <w:bookmarkStart w:id="37" w:name="主要终点和停止规则"/>
    <w:p>
      <w:pPr>
        <w:pStyle w:val="Heading2"/>
      </w:pPr>
      <w:r>
        <w:t xml:space="preserve">主要终点和停止规则</w:t>
      </w:r>
    </w:p>
    <w:p>
      <w:pPr>
        <w:pStyle w:val="FirstParagraph"/>
      </w:pPr>
      <w:r>
        <w:t xml:space="preserve">对每个固定比较器计算</w:t>
      </w:r>
    </w:p>
    <w:p>
      <w:pPr>
        <w:pStyle w:val="BodyText"/>
      </w:pPr>
      <m:oMathPara>
        <m:oMathParaPr>
          <m:jc m:val="center"/>
        </m:oMathParaPr>
        <m:oMath>
          <m:r>
            <m:t>Δ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168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16</m:t>
                  </m:r>
                </m:den>
              </m:f>
            </m:e>
          </m:nary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30</m:t>
                  </m:r>
                </m:den>
              </m:f>
            </m:e>
          </m:nary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p</m:t>
              </m:r>
            </m:sub>
            <m:sup>
              <m:r>
                <m:t>​</m:t>
              </m:r>
            </m:sup>
            <m:e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</m:e>
          </m:nary>
          <m:f>
            <m:fPr>
              <m:type m:val="bar"/>
            </m:fPr>
            <m:num>
              <m:sSub>
                <m:e>
                  <m:r>
                    <m:t>q</m:t>
                  </m:r>
                </m:e>
                <m:sub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w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s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s</m:t>
                      </m:r>
                      <m:r>
                        <m:t>r</m:t>
                      </m:r>
                      <m:r>
                        <m:t>p</m:t>
                      </m:r>
                    </m:sub>
                  </m:sSub>
                </m:e>
              </m:d>
            </m:num>
            <m:den>
              <m:sSub>
                <m:e>
                  <m:r>
                    <m:t>q</m:t>
                  </m:r>
                </m:e>
                <m:sub>
                  <m:r>
                    <m:rPr>
                      <m:sty m:val="p"/>
                    </m:rPr>
                    <m:t>c</m:t>
                  </m:r>
                  <m:r>
                    <m:rPr>
                      <m:sty m:val="p"/>
                    </m:rPr>
                    <m:t>o</m:t>
                  </m:r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t</m:t>
                  </m:r>
                  <m:r>
                    <m:rPr>
                      <m:sty m:val="p"/>
                    </m:rPr>
                    <m:t>r</m:t>
                  </m:r>
                  <m:r>
                    <m:rPr>
                      <m:sty m:val="p"/>
                    </m:rPr>
                    <m:t>o</m:t>
                  </m:r>
                  <m:r>
                    <m:rPr>
                      <m:sty m:val="p"/>
                    </m:rPr>
                    <m:t>l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s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s</m:t>
                      </m:r>
                      <m:r>
                        <m:t>r</m:t>
                      </m:r>
                      <m:r>
                        <m:t>p</m:t>
                      </m:r>
                    </m:sub>
                  </m:sSub>
                </m:e>
              </m: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开发选择规则建议事前签署为：相对同物理精确矩Gaussian平均至少+0.05 bit；按source整簇重采样的95%区间下界大于0；平均Brier不恶化；不因删除极端值才成立。0.05 bit是本次提出的开发效应门槛，约对应真源几何平均概率增加3.5%，不是历史结果推出来的物理常数。source bootstrap仅描述固定OPEN panel的敏感性，不是独立确认的显著性保证。</w:t>
      </w:r>
    </w:p>
    <w:p>
      <w:pPr>
        <w:pStyle w:val="BodyText"/>
      </w:pPr>
      <w:r>
        <w:t xml:space="preserve">另要求在统一的分布/源赔率精度下，实际总成本优于标准逐源概率计算。具体墙钟预算、网格、量化误差与likelihood求解容差应由固定primitive和硬件先确定并hash锁定，不能看OPEN评分后选择。没有完成这些字段，不能称已签署实验合同。</w:t>
      </w:r>
    </w:p>
    <w:p>
      <w:pPr>
        <w:pStyle w:val="BodyText"/>
      </w:pPr>
      <w:r>
        <w:rPr>
          <w:b/>
          <w:bCs/>
        </w:rPr>
        <w:t xml:space="preserve">科学/主创新STOP：</w:t>
      </w:r>
      <w:r>
        <w:t xml:space="preserve"> </w:t>
      </w:r>
      <w:r>
        <w:t xml:space="preserve">实际kernel/释放假设正确且计算有效时，完整分布没有上述源判别增益；或所有增益都被相同信息和预算的普通方法解释，且没有额外计算价值；或必须读取全部目标源ensemble才能取得结果。不得因失败换probe、换源、换释放规律、换噪声floor。</w:t>
      </w:r>
    </w:p>
    <w:p>
      <w:pPr>
        <w:pStyle w:val="BodyText"/>
      </w:pPr>
      <w:r>
        <w:rPr>
          <w:b/>
          <w:bCs/>
        </w:rPr>
        <w:t xml:space="preserve">实施阻断，不冒充科学STOP：</w:t>
      </w:r>
      <w:r>
        <w:t xml:space="preserve"> </w:t>
      </w:r>
      <w:r>
        <w:t xml:space="preserve">无法复现primitive、数值概率不守恒、误差界不足、预算超限、输入合同缺失。固定版本结束，不把无效评分写成科学结论。</w:t>
      </w:r>
    </w:p>
    <w:p>
      <w:pPr>
        <w:pStyle w:val="BodyText"/>
      </w:pPr>
      <w:r>
        <w:rPr>
          <w:b/>
          <w:bCs/>
        </w:rPr>
        <w:t xml:space="preserve">开发GO也不是论文确认：</w:t>
      </w:r>
      <w:r>
        <w:t xml:space="preserve"> </w:t>
      </w:r>
      <w:r>
        <w:t xml:space="preserve">仅获得候选地位。随后需要一次独立新realization确认，冻结同一公式、观测和主要终点；再谈不同位置/环境与在线形式。不是先给每个边界再加一轮A0。</w:t>
      </w:r>
    </w:p>
    <w:bookmarkEnd w:id="37"/>
    <w:bookmarkEnd w:id="38"/>
    <w:bookmarkStart w:id="41" w:name="真实部署与历史路线排重"/>
    <w:p>
      <w:pPr>
        <w:pStyle w:val="Heading1"/>
      </w:pPr>
      <w:r>
        <w:t xml:space="preserve">9. 真实部署与历史路线排重</w:t>
      </w:r>
    </w:p>
    <w:bookmarkStart w:id="39" w:name="合法部署"/>
    <w:p>
      <w:pPr>
        <w:pStyle w:val="Heading2"/>
      </w:pPr>
      <w:r>
        <w:t xml:space="preserve">合法部署</w:t>
      </w:r>
    </w:p>
    <w:p>
      <w:pPr>
        <w:pStyle w:val="FirstParagraph"/>
      </w:pPr>
      <w:r>
        <w:t xml:space="preserve">地图、已知候选几何、航迹、时间和实际传感器记录可用。预测风场可以来自预先规定的CFD/外部测风/地图模型，但不能把VM真值全场当作已获得的真实风场。第一刀使用已知模拟器风场只能证明known-model能力。</w:t>
      </w:r>
    </w:p>
    <w:p>
      <w:pPr>
        <w:pStyle w:val="BodyText"/>
      </w:pPr>
      <w:r>
        <w:t xml:space="preserve">未来须比较合法预测风场及其不确定性下的源图；若只有oracle全场和精确释放才工作，题名只能限于已知输运模型的概率反演，不能声称解决真实未知环境定位。不从同一未知泄漏的早期记录单独推断“无源环境posterior”再重复使用数据。</w:t>
      </w:r>
    </w:p>
    <w:p>
      <w:pPr>
        <w:pStyle w:val="BodyText"/>
      </w:pPr>
      <w:r>
        <w:t xml:space="preserve">不需要目标环境每个候选源的无标签观测来适应；但需要可辩护的物理primitive。两者不是同一预算，也不能隐瞒后者成本。</w:t>
      </w:r>
    </w:p>
    <w:bookmarkEnd w:id="39"/>
    <w:bookmarkStart w:id="40" w:name="为什么不是旧路线换名"/>
    <w:p>
      <w:pPr>
        <w:pStyle w:val="Heading2"/>
      </w:pPr>
      <w:r>
        <w:t xml:space="preserve">为什么不是旧路线换名</w:t>
      </w:r>
    </w:p>
    <w:p>
      <w:pPr>
        <w:pStyle w:val="Compact"/>
        <w:numPr>
          <w:ilvl w:val="0"/>
          <w:numId w:val="1003"/>
        </w:numPr>
      </w:pPr>
      <w:r>
        <w:t xml:space="preserve">与PASI/JTD：不从每源12/16条路径估计Gaussian方差/协方差；完整分布由释放—输运模型组合。若实际实现退化为二阶截断，只能算普通Gaussian物理模型。</w:t>
      </w:r>
    </w:p>
    <w:p>
      <w:pPr>
        <w:pStyle w:val="Compact"/>
        <w:numPr>
          <w:ilvl w:val="0"/>
          <w:numId w:val="1003"/>
        </w:numPr>
      </w:pPr>
      <w:r>
        <w:t xml:space="preserve">与SLL/Bi-Green：均值响应只是生成泛函一阶导数；本构造求概率律与源似然，不凭更好的场误差宣称定位提高。反向传播本身是旧工具。</w:t>
      </w:r>
    </w:p>
    <w:p>
      <w:pPr>
        <w:pStyle w:val="Compact"/>
        <w:numPr>
          <w:ilvl w:val="0"/>
          <w:numId w:val="1003"/>
        </w:numPr>
      </w:pPr>
      <w:r>
        <w:t xml:space="preserve">与M4：不从多个source的拟合场经验拼接；仅在明确条件独立和浓度可加时组合一个source的释放单位。假设不成立就不能保持“精确”措辞。</w:t>
      </w:r>
    </w:p>
    <w:p>
      <w:pPr>
        <w:pStyle w:val="Compact"/>
        <w:numPr>
          <w:ilvl w:val="0"/>
          <w:numId w:val="1003"/>
        </w:numPr>
      </w:pPr>
      <w:r>
        <w:t xml:space="preserve">与TNQC/MZ：不删除幅值、不寻找全局nuisance-free representation；共同环境变量在联合分布外层积分。</w:t>
      </w:r>
    </w:p>
    <w:p>
      <w:pPr>
        <w:pStyle w:val="Compact"/>
        <w:numPr>
          <w:ilvl w:val="0"/>
          <w:numId w:val="1003"/>
        </w:numPr>
      </w:pPr>
      <w:r>
        <w:t xml:space="preserve">与SOLICM/world model：没有target多源unlabeled适应；也没有声称少量未知源context能唯一识别算子。</w:t>
      </w:r>
    </w:p>
    <w:p>
      <w:pPr>
        <w:pStyle w:val="Compact"/>
        <w:numPr>
          <w:ilvl w:val="0"/>
          <w:numId w:val="1003"/>
        </w:numPr>
      </w:pPr>
      <w:r>
        <w:t xml:space="preserve">与AVSC：这里交付从primitive到源概率的计算，可靠性定理不是算法输入。传感器与输运假设仍须具体，不以“给定真实条件分布”代替核心求解。</w:t>
      </w:r>
    </w:p>
    <w:bookmarkEnd w:id="40"/>
    <w:bookmarkEnd w:id="41"/>
    <w:bookmarkStart w:id="42" w:name="现在交给codex的工作不是再发明一个模型"/>
    <w:p>
      <w:pPr>
        <w:pStyle w:val="Heading1"/>
      </w:pPr>
      <w:r>
        <w:t xml:space="preserve">10. 现在交给Codex的工作不是再发明一个模型</w:t>
      </w:r>
    </w:p>
    <w:p>
      <w:pPr>
        <w:pStyle w:val="FirstParagraph"/>
      </w:pPr>
      <w:r>
        <w:t xml:space="preserve">直接接收本包的已实现求解器与公式。第一项实现是把项目</w:t>
      </w:r>
      <w:r>
        <w:rPr>
          <w:b/>
          <w:bCs/>
        </w:rPr>
        <w:t xml:space="preserve">固定版本</w:t>
      </w:r>
      <w:r>
        <w:t xml:space="preserve">的释放规则、单filament随机推进、年龄/扩散、边界、浓度核映射到该分布递推；不拟合每源新variance、不替换归一化、不设计网络。</w:t>
      </w:r>
    </w:p>
    <w:p>
      <w:pPr>
        <w:pStyle w:val="BodyText"/>
      </w:pPr>
      <w:r>
        <w:t xml:space="preserve">初始源码的二维kernel仅用于单元验证，不能直接把它接到GADEN数据上宣称exact-forward。primitive可用离散积分或确定性数值求解，不新增完整plume。遇到必须新生成粒子样本或plume的操作，应先列明并停下，不把它称作0新plume而暗中增加数据。</w:t>
      </w:r>
    </w:p>
    <w:p>
      <w:pPr>
        <w:pStyle w:val="BodyText"/>
      </w:pPr>
      <w:r>
        <w:t xml:space="preserve">交付代码、primitive一致性证据和第一刀完整结果，而不是另一份“建议研究何种理论”的文档。允许在OPEN开发期修复软件并记录版本；一旦锁定比较实施版本，不得基于其评分换方法。旧STOP和封存环境不变。</w:t>
      </w:r>
    </w:p>
    <w:bookmarkEnd w:id="42"/>
    <w:bookmarkStart w:id="43" w:name="什么时刻能确认主创新"/>
    <w:p>
      <w:pPr>
        <w:pStyle w:val="Heading1"/>
      </w:pPr>
      <w:r>
        <w:t xml:space="preserve">11. 什么时刻能确认主创新</w:t>
      </w:r>
    </w:p>
    <w:p>
      <w:pPr>
        <w:pStyle w:val="FirstParagraph"/>
      </w:pPr>
      <w:r>
        <w:rPr>
          <w:b/>
          <w:bCs/>
        </w:rPr>
        <w:t xml:space="preserve">本轮已完成：</w:t>
      </w:r>
      <w:r>
        <w:t xml:space="preserve"> </w:t>
      </w:r>
      <w:r>
        <w:t xml:space="preserve">一个具体构造、核心可运行代码、数学反例与单元检查。</w:t>
      </w:r>
      <w:r>
        <w:rPr>
          <w:b/>
          <w:bCs/>
        </w:rPr>
        <w:t xml:space="preserve">尚未完成：</w:t>
      </w:r>
      <w:r>
        <w:t xml:space="preserve"> </w:t>
      </w:r>
      <w:r>
        <w:t xml:space="preserve">GADEN上的有效性、资源优势、独立确认、在线风场合同以及新颖性完整排重。</w:t>
      </w:r>
    </w:p>
    <w:p>
      <w:pPr>
        <w:pStyle w:val="BodyText"/>
      </w:pPr>
      <w:r>
        <w:t xml:space="preserve">现在可以把它列为“唯一进入实际实现的主创新候选”，不能写“主创新已证实”。第一次OPEN方法比较若同时证明分布信息价值和非平凡计算价值，才值得保留；若不成立就结束具体构造，不把用户继续推到另一层预检。</w:t>
      </w:r>
    </w:p>
    <w:p>
      <w:pPr>
        <w:pStyle w:val="BodyText"/>
      </w:pPr>
      <w:r>
        <w:t xml:space="preserve">论文可以采用的暂定贡献句是：</w:t>
      </w:r>
      <w:r>
        <w:rPr>
          <w:b/>
          <w:bCs/>
        </w:rPr>
        <w:t xml:space="preserve">面向间歇随机输运，研究将逐源完整羽流分布估计转化为释放—输运生成算子的概率源反演方法，并检验其在有限参考样本和明确物理模型条件下的定位与计算收益。</w:t>
      </w:r>
    </w:p>
    <w:p>
      <w:pPr>
        <w:pStyle w:val="BodyText"/>
      </w:pPr>
      <w:r>
        <w:t xml:space="preserve">不可以写：量子理论证明GSL普适有效；首次使用Laplace进行源反演；完整分布必胜均值；仅凭局部风恢复真实算子；已突破stochastic floor；已实现300维实时源似然。</w:t>
      </w:r>
    </w:p>
    <w:bookmarkEnd w:id="43"/>
    <w:bookmarkStart w:id="44" w:name="参考文献与核查范围"/>
    <w:p>
      <w:pPr>
        <w:pStyle w:val="Heading1"/>
      </w:pPr>
      <w:r>
        <w:t xml:space="preserve">参考文献与核查范围</w:t>
      </w:r>
    </w:p>
    <w:p>
      <w:pPr>
        <w:pStyle w:val="FirstParagraph"/>
      </w:pPr>
      <w:r>
        <w:t xml:space="preserve">[1] Menczel, P., Flindt, C., Brange, F., Nori, F., Gneiting, C. Full Counting Statistics and First-Passage Times in Quantum Markovian Processes: Ensemble Relations, Metastability, and Fluctuation Theorems. PRX Quantum 7, 010304 (2026). DOI: 10.1103/4hc1-l8w4. 核查：出版页与摘要；非本项目物理保证。</w:t>
      </w:r>
    </w:p>
    <w:p>
      <w:pPr>
        <w:pStyle w:val="BodyText"/>
      </w:pPr>
      <w:r>
        <w:t xml:space="preserve">[2] Brémont, J. Beyond Poisson: First-Passage Asymptotics of Renewal Shot Noise. Physical Review Letters 136, 107101 (2026). DOI: 10.1103/bbh8-n8dt. 核查：公开摘要与发表日期；未复现论文数值。</w:t>
      </w:r>
    </w:p>
    <w:p>
      <w:pPr>
        <w:pStyle w:val="BodyText"/>
      </w:pPr>
      <w:r>
        <w:t xml:space="preserve">[3] O’Connor, G. K., Jess, J. M., Costello, D., Lladser, M. E. Observer-Based Source Localization in Tree Infection Networks via Laplace Transforms. Bulletin of Mathematical Biology 88, 83 (2026). DOI: 10.1007/s11538-026-01640-4. 核查：原文摘要、问题设定与引言；近期直接反首创先例。</w:t>
      </w:r>
    </w:p>
    <w:p>
      <w:pPr>
        <w:pStyle w:val="BodyText"/>
      </w:pPr>
      <w:r>
        <w:t xml:space="preserve">[4] Fox, Z., Neuert, G., Munsky, B. Finite state projection based bounds to compare chemical master equation models using single-cell data. Journal of Chemical Physics 145, 074101 (2016). DOI: 10.1063/1.4960505. 核查：PubMed原始论文记录/摘要；不是新贡献来源。</w:t>
      </w:r>
    </w:p>
    <w:p>
      <w:pPr>
        <w:pStyle w:val="BodyText"/>
      </w:pPr>
      <w:r>
        <w:t xml:space="preserve">[5] Noel, A., Cheung, K. C., Schober, R. Bounds on Distance Estimation via Diffusive Molecular Communication. IEEE GLOBECOM (2014). DOI: 10.1109/GLOCOM.2014.7037234; arXiv:1404.3238. 核查：作者原始摘要与大学出版记录。</w:t>
      </w:r>
    </w:p>
    <w:p>
      <w:pPr>
        <w:pStyle w:val="BodyText"/>
      </w:pPr>
      <w:r>
        <w:t xml:space="preserve">[6] Ojeda, P., Monroy, J., Gonzalez-Jimenez, J. Gaden-RT: A real time and interactive gas dispersion simulator for mobile robotics. SoftwareX 32, 102388 (2025). DOI: 10.1016/j.softx.2025.102388. 核查：原文软件说明与公开库MAPIRlab/gaden_core；未运行库。软件论文的加法浓度模型、filament物理及公开版本不是项目固定版本逐项核验。</w:t>
      </w:r>
    </w:p>
    <w:bookmarkEnd w:id="44"/>
    <w:sectPr>
      <w:headerReference w:type="default" r:id="rId9"/>
      <w:footerReference w:type="default" r:id="rId10"/>
      <w:pgSz w:w="11906" w:h="16838"/>
      <w:pgMar w:top="1134" w:bottom="1077" w:left="1219" w:right="1219" w:header="454" w:footer="51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2026-09-26  ·  </w:t>
    </w:r>
    <w:fldSimple w:instr="PAGE"/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Noto Sans CJK SC" w:hAnsi="Noto Sans CJK SC"/>
        <w:sz w:val="16"/>
      </w:rPr>
      <w:t>PRO6  |  从随机释放到源概率图  |  候选构造，不是已验证方法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widowControl/>
      <w:spacing w:line="276" w:lineRule="auto" w:after="120"/>
    </w:pPr>
    <w:rPr>
      <w:rFonts w:ascii="Noto Sans CJK SC" w:hAnsi="Noto Sans CJK SC" w:eastAsia="Noto Sans CJK SC"/>
      <w:sz w:val="20"/>
    </w:rPr>
  </w:style>
  <w:style w:styleId="BodyText" w:type="paragraph">
    <w:name w:val="Body Text"/>
    <w:basedOn w:val="Normal"/>
    <w:link w:val="BodyTextChar"/>
    <w:qFormat/>
    <w:pPr>
      <w:widowControl/>
      <w:spacing w:after="120" w:before="180" w:line="276" w:lineRule="auto"/>
    </w:pPr>
    <w:rPr>
      <w:rFonts w:ascii="Noto Sans CJK SC" w:hAnsi="Noto Sans CJK SC" w:eastAsia="Noto Sans CJK SC"/>
      <w:sz w:val="20"/>
    </w:rPr>
  </w:style>
  <w:style w:customStyle="1" w:styleId="FirstParagraph" w:type="paragraph">
    <w:name w:val="First Paragraph"/>
    <w:basedOn w:val="BodyText"/>
    <w:next w:val="BodyText"/>
    <w:qFormat/>
    <w:pPr>
      <w:widowControl/>
      <w:spacing w:line="276" w:lineRule="auto" w:after="120"/>
    </w:pPr>
    <w:rPr>
      <w:rFonts w:ascii="Noto Sans CJK SC" w:hAnsi="Noto Sans CJK SC" w:eastAsia="Noto Sans CJK SC"/>
      <w:sz w:val="20"/>
    </w:rPr>
  </w:style>
  <w:style w:customStyle="1" w:styleId="Compact" w:type="paragraph">
    <w:name w:val="Compact"/>
    <w:basedOn w:val="BodyText"/>
    <w:qFormat/>
    <w:pPr>
      <w:widowControl/>
      <w:spacing w:after="120" w:before="36" w:line="276" w:lineRule="auto"/>
    </w:pPr>
    <w:rPr>
      <w:rFonts w:ascii="Noto Sans CJK SC" w:hAnsi="Noto Sans CJK SC" w:eastAsia="Noto Sans CJK SC"/>
      <w:sz w:val="20"/>
    </w:rPr>
  </w:style>
  <w:style w:styleId="Title" w:type="paragraph">
    <w:name w:val="Title"/>
    <w:basedOn w:val="Normal"/>
    <w:next w:val="BodyText"/>
    <w:qFormat/>
    <w:pPr>
      <w:keepNext/>
      <w:keepLines/>
      <w:spacing w:after="120" w:before="240"/>
      <w:jc w:val="center"/>
    </w:pPr>
    <w:rPr>
      <w:rFonts w:asciiTheme="majorHAnsi" w:cstheme="majorBidi" w:eastAsiaTheme="majorEastAsia" w:hAnsiTheme="majorHAnsi" w:ascii="Noto Sans CJK SC" w:hAnsi="Noto Sans CJK SC" w:eastAsia="Noto Sans CJK SC"/>
      <w:b/>
      <w:bCs/>
      <w:color w:val="183D53"/>
      <w:sz w:val="48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120" w:before="240"/>
      <w:jc w:val="center"/>
    </w:pPr>
    <w:rPr>
      <w:rFonts w:ascii="Noto Sans CJK SC" w:hAnsi="Noto Sans CJK SC" w:eastAsia="Noto Sans CJK SC"/>
      <w:color w:val="183D53"/>
      <w:sz w:val="26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120" w:before="240"/>
      <w:outlineLvl w:val="0"/>
    </w:pPr>
    <w:rPr>
      <w:rFonts w:asciiTheme="majorHAnsi" w:cstheme="majorBidi" w:eastAsiaTheme="majorEastAsia" w:hAnsiTheme="majorHAnsi" w:ascii="Noto Sans CJK SC" w:hAnsi="Noto Sans CJK SC" w:eastAsia="Noto Sans CJK SC"/>
      <w:b/>
      <w:bCs/>
      <w:color w:val="183D53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120" w:before="240"/>
      <w:outlineLvl w:val="1"/>
    </w:pPr>
    <w:rPr>
      <w:rFonts w:asciiTheme="majorHAnsi" w:cstheme="majorBidi" w:eastAsiaTheme="majorEastAsia" w:hAnsiTheme="majorHAnsi" w:ascii="Noto Sans CJK SC" w:hAnsi="Noto Sans CJK SC" w:eastAsia="Noto Sans CJK SC"/>
      <w:b/>
      <w:bCs/>
      <w:color w:val="183D53"/>
      <w:sz w:val="25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从随机释放到源概率图：唯一候选构造</dc:title>
  <dc:creator>研究分析</dc:creator>
  <dc:language>zh-CN</dc:language>
  <cp:keywords/>
  <dcterms:created xsi:type="dcterms:W3CDTF">2026-09-26T04:39:14Z</dcterms:created>
  <dcterms:modified xsi:type="dcterms:W3CDTF">2026-09-26T04:39:14Z</dcterms:modified>
  <dc:subject>理论推导、有限状态代码及第一刀反证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2026年9月26日</vt:lpwstr>
  </property>
  <property fmtid="{D5CDD505-2E9C-101B-9397-08002B2CF9AE}" pid="3" name="subtitle">
    <vt:lpwstr>唯一候选的数学构造、可运行原型与第一刀反证</vt:lpwstr>
  </property>
</Properties>
</file>