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AOD F1 时间阻断</w:t>
        <w:br/>
        <w:t>独立复核与一次修订建议</w:t>
      </w:r>
    </w:p>
    <w:p>
      <w:r>
        <w:t>原标签保留：AOD_F1_HOLD_TIMEBASE</w:t>
        <w:br/>
        <w:t>科学判决为空；本报告不授权新模拟或浓度读取。</w:t>
      </w:r>
    </w:p>
    <w:p>
      <w:pPr>
        <w:pStyle w:val="Heading1"/>
      </w:pPr>
      <w:r>
        <w:t>结论：保留资产，修订采样定义，不改模型</w:t>
      </w:r>
    </w:p>
    <w:p>
      <w:r>
        <w:t>这次不是AOD失效，也不是计算预算不足。原合同要求在固定原语不能提供的时间点读取状态，执行器按合同停止是正确的。建议主线程在未读取任何House03 target浓度/分数的情况下，签署一次透明的原生保存状态采样修订，复用全部候选银行和第一条未揭盲输出，再继续原清单剩余95条。</w:t>
      </w:r>
    </w:p>
    <w:p>
      <w:r>
        <w:t>这不是扩大1e-9秒容差后追认旧合同通过。它是有记录的观测协议修订，原HOLD永久保留，新版本另记修订commit。若仍坚持精确50–500秒的连续时间任务，当前固定核心不满足，应保持HOLD。</w:t>
      </w:r>
    </w:p>
    <w:p>
      <w:pPr>
        <w:pStyle w:val="Heading2"/>
      </w:pPr>
      <w:r>
        <w:t>本轮确实复核的范围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/>
          <w:cantSplit/>
        </w:trPr>
        <w:tc>
          <w:tcPr>
            <w:tcW w:type="dxa" w:w="4917"/>
          </w:tcPr>
          <w:p>
            <w:pPr>
              <w:spacing w:after="60" w:before="40"/>
            </w:pPr>
            <w:r>
              <w:rPr>
                <w:sz w:val="18"/>
              </w:rPr>
              <w:t>对象</w:t>
            </w:r>
          </w:p>
        </w:tc>
        <w:tc>
          <w:tcPr>
            <w:tcW w:type="dxa" w:w="4917"/>
          </w:tcPr>
          <w:p>
            <w:pPr>
              <w:spacing w:after="60" w:before="40"/>
            </w:pPr>
            <w:r>
              <w:rPr>
                <w:sz w:val="18"/>
              </w:rPr>
              <w:t>结果/范围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before="40"/>
            </w:pPr>
            <w:r>
              <w:rPr>
                <w:sz w:val="18"/>
              </w:rPr>
              <w:t>原ZIP</w:t>
            </w:r>
          </w:p>
        </w:tc>
        <w:tc>
          <w:tcPr>
            <w:tcW w:type="dxa" w:w="4917"/>
          </w:tcPr>
          <w:p>
            <w:pPr>
              <w:spacing w:after="60" w:before="40"/>
            </w:pPr>
            <w:r>
              <w:rPr>
                <w:sz w:val="18"/>
              </w:rPr>
              <w:t>32,266,909 bytes；SHA256与用户声明一致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before="40"/>
            </w:pPr>
            <w:r>
              <w:rPr>
                <w:sz w:val="18"/>
              </w:rPr>
              <w:t>内部文件</w:t>
            </w:r>
          </w:p>
        </w:tc>
        <w:tc>
          <w:tcPr>
            <w:tcW w:type="dxa" w:w="4917"/>
          </w:tcPr>
          <w:p>
            <w:pPr>
              <w:spacing w:after="60" w:before="40"/>
            </w:pPr>
            <w:r>
              <w:rPr>
                <w:sz w:val="18"/>
              </w:rPr>
              <w:t>147项哈希全部匹配；只对字节作完整性检查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before="40"/>
            </w:pPr>
            <w:r>
              <w:rPr>
                <w:sz w:val="18"/>
              </w:rPr>
              <w:t>候选记录</w:t>
            </w:r>
          </w:p>
        </w:tc>
        <w:tc>
          <w:tcPr>
            <w:tcW w:type="dxa" w:w="4917"/>
          </w:tcPr>
          <w:p>
            <w:pPr>
              <w:spacing w:after="60" w:before="40"/>
            </w:pPr>
            <w:r>
              <w:rPr>
                <w:sz w:val="18"/>
              </w:rPr>
              <w:t>54,912个source/state/replica与seed逐项匹配；624源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before="40"/>
            </w:pPr>
            <w:r>
              <w:rPr>
                <w:sz w:val="18"/>
              </w:rPr>
              <w:t>独立时钟计算</w:t>
            </w:r>
          </w:p>
        </w:tc>
        <w:tc>
          <w:tcPr>
            <w:tcW w:type="dxa" w:w="4917"/>
          </w:tcPr>
          <w:p>
            <w:pPr>
              <w:spacing w:after="60" w:before="40"/>
            </w:pPr>
            <w:r>
              <w:rPr>
                <w:sz w:val="18"/>
              </w:rPr>
              <w:t>986条time/step/wind元组全部一致；5,100个时钟步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before="40"/>
            </w:pPr>
            <w:r>
              <w:rPr>
                <w:sz w:val="18"/>
              </w:rPr>
              <w:t>原时间gate</w:t>
            </w:r>
          </w:p>
        </w:tc>
        <w:tc>
          <w:tcPr>
            <w:tcW w:type="dxa" w:w="4917"/>
          </w:tcPr>
          <w:p>
            <w:pPr>
              <w:spacing w:after="60" w:before="40"/>
            </w:pPr>
            <w:r>
              <w:rPr>
                <w:sz w:val="18"/>
              </w:rPr>
              <w:t>首批约0.1秒；十个请求时间精确匹配均为0；复算HOLD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before="40"/>
            </w:pPr>
            <w:r>
              <w:rPr>
                <w:sz w:val="18"/>
              </w:rPr>
              <w:t>只读结果重复</w:t>
            </w:r>
          </w:p>
        </w:tc>
        <w:tc>
          <w:tcPr>
            <w:tcW w:type="dxa" w:w="4917"/>
          </w:tcPr>
          <w:p>
            <w:pPr>
              <w:spacing w:after="60" w:before="40"/>
            </w:pPr>
            <w:r>
              <w:rPr>
                <w:sz w:val="18"/>
              </w:rPr>
              <w:t>六个输出文件逐字节一致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before="40"/>
            </w:pPr>
            <w:r>
              <w:rPr>
                <w:sz w:val="18"/>
              </w:rPr>
              <w:t>未执行</w:t>
            </w:r>
          </w:p>
        </w:tc>
        <w:tc>
          <w:tcPr>
            <w:tcW w:type="dxa" w:w="4917"/>
          </w:tcPr>
          <w:p>
            <w:pPr>
              <w:spacing w:after="60" w:before="40"/>
            </w:pPr>
            <w:r>
              <w:rPr>
                <w:sz w:val="18"/>
              </w:rPr>
              <w:t>GADEN、PMFS、RNG抽样、模型训练、浓度提取、定位评分、CI</w:t>
            </w:r>
          </w:p>
        </w:tc>
      </w:tr>
    </w:tbl>
    <w:p>
      <w:pPr>
        <w:pStyle w:val="Caption"/>
      </w:pPr>
      <w:r>
        <w:t>独立程度：原始VM bank本体与首条gas不在本包内；本轮不宣称重新验证了54,912条forward的数值正确性。只核对随包记录、哈希与模板文件字节，不解码科学数组。</w:t>
      </w:r>
    </w:p>
    <w:p>
      <w:pPr>
        <w:pStyle w:val="Caption"/>
      </w:pPr>
      <w:r>
        <w:t>证据：[E01]执行报告；[E02]时间合同；05_AUDIT_OUTPUT内为本轮实算。完整行号见06_SOURCE_EXCERPTS.txt。</w:t>
      </w:r>
    </w:p>
    <w:p>
      <w:r>
        <w:br w:type="page"/>
      </w:r>
    </w:p>
    <w:p>
      <w:pPr>
        <w:pStyle w:val="Heading1"/>
      </w:pPr>
      <w:r>
        <w:t>1  为什么原时间合同必然触发HOLD</w:t>
      </w:r>
    </w:p>
    <w:p>
      <w:pPr>
        <w:pStyle w:val="Heading2"/>
      </w:pPr>
      <w:r>
        <w:t>1.1 源启用不等于第0次调用产生一个整数filament</w:t>
      </w:r>
    </w:p>
    <w:p>
      <w:r>
        <w:t>参数为7 filament/s、float32步长0.1秒。每步先累加7×dt，再发出整数部分。第0次累加约0.7，不发出；第1次约1.4，发出1个。日志在原生时钟0.10000000149011612秒首次观察到非空群体，与规则一致。无需因此移动源启用时刻或改变释放率。[E03:118–142；E09]</w:t>
      </w:r>
    </w:p>
    <w:p>
      <w:r>
        <w:t>first_nonzero_filament_count在AdvanceTimestep返回后检查幸存filament集合，并非在Add内部打点。它不等同于连续物理释放开始时刻。配置在0秒启用与非空群体在约0.1秒出现，不是同一个命题。</w:t>
      </w:r>
    </w:p>
    <w:p>
      <w:pPr>
        <w:pStyle w:val="Heading2"/>
      </w:pPr>
      <w:r>
        <w:t>1.2 配置0.5秒，并不表示writer严格每0.5秒保存</w:t>
      </w:r>
    </w:p>
    <w:p>
      <w:r>
        <w:t>冻结代码的条件是 currentTime &gt; lastSaveTime + saveDeltaTime。第一次0秒写出后，0.5秒相等不满足严格大于，所以后续可能隔5步或6步保存。保存后lastSaveTime被赋为当下原生时钟，后续窗口从此递推。[E03:78–104]</w:t>
      </w:r>
    </w:p>
    <w:p>
      <w:r>
        <w:t>同时currentTime以单精度重复累加0.1。到零基第5000步，原生时钟为500.02130126953125秒。本轮检查所有5,100个步时钟，50、100、…、500秒没有一个在1e-9秒内匹配。只提高输出小数位、改文件名或放宽日志打印都不能创造缺失的状态。</w:t>
      </w:r>
    </w:p>
    <w:p>
      <w:pPr>
        <w:pStyle w:val="Heading2"/>
      </w:pPr>
      <w:r>
        <w:t>1.3 日志时间还必须带上执行阶段</w:t>
      </w:r>
    </w:p>
    <w:p>
      <w:r>
        <w:t>核心顺序为：Add → Move → Save → Wind更新 → Clock递增。logger把调用前的GetCurrentTime写为physical_sim_time_s，但保存的集合已经执行过本步Move。[E03:78–104；E04:166–184]</w:t>
      </w:r>
    </w:p>
    <w:p>
      <w:r>
        <w:t>因此新合同应以“保存ID＋积分步＋POST_MOVE阶段＋原生clock＋wind index”共同标识样本。既不自动将时间加0.1，也不声称原日志已认证为连续时间的精确瞬时场。</w:t>
      </w:r>
    </w:p>
    <w:p>
      <w:pPr>
        <w:pStyle w:val="Heading2"/>
      </w:pPr>
      <w:r>
        <w:t>为什么不推荐直接修float或比较符号？</w:t>
      </w:r>
    </w:p>
    <w:p>
      <w:r>
        <w:t>改float为double可能改变wind触发时机、循环次数与后续随机运输。改 &gt; 为 &gt;= 也改变输出/风调度语义，不能把它当作libbsc链接修复。当前两臂比较只需要共同、可追溯的观测状态；没有必要为整数时间戳重写生成机制。</w:t>
      </w:r>
    </w:p>
    <w:p>
      <w:r>
        <w:br w:type="page"/>
      </w:r>
    </w:p>
    <w:p>
      <w:pPr>
        <w:pStyle w:val="Heading1"/>
      </w:pPr>
      <w:r>
        <w:t>2  唯一建议：固定原生保存状态采样</w:t>
      </w:r>
    </w:p>
    <w:p>
      <w:r>
        <w:t>状态：待主线程签署。保留理想路径槽作为请求计划，实际观测采用各请求之前最后一个原生保存状态：j*(τ)=argmax{t_native(j)≤τ}。这是新采样定义，不是旧合同已经通过；不得依据浓度选择最近帧、插值或允许逐run改变规则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tblHeader/>
          <w:cantSplit/>
        </w:trPr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理想槽/s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固定保存ID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原生clock/s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wind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积分步</w:t>
            </w:r>
          </w:p>
        </w:tc>
      </w:tr>
      <w:tr>
        <w:trPr>
          <w:cantSplit/>
        </w:trPr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50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91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49.699813843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7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497</w:t>
            </w:r>
          </w:p>
        </w:tc>
      </w:tr>
      <w:tr>
        <w:trPr>
          <w:cantSplit/>
        </w:trPr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100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174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99.499053955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2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995</w:t>
            </w:r>
          </w:p>
        </w:tc>
      </w:tr>
      <w:tr>
        <w:trPr>
          <w:cantSplit/>
        </w:trPr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150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265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149.799942017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10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1498</w:t>
            </w:r>
          </w:p>
        </w:tc>
      </w:tr>
      <w:tr>
        <w:trPr>
          <w:cantSplit/>
        </w:trPr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200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365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199.802993774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10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1998</w:t>
            </w:r>
          </w:p>
        </w:tc>
      </w:tr>
      <w:tr>
        <w:trPr>
          <w:cantSplit/>
        </w:trPr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250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465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249.806045532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10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2498</w:t>
            </w:r>
          </w:p>
        </w:tc>
      </w:tr>
      <w:tr>
        <w:trPr>
          <w:cantSplit/>
        </w:trPr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300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565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299.809082031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10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2998</w:t>
            </w:r>
          </w:p>
        </w:tc>
      </w:tr>
      <w:tr>
        <w:trPr>
          <w:cantSplit/>
        </w:trPr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350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665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349.812133789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10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3498</w:t>
            </w:r>
          </w:p>
        </w:tc>
      </w:tr>
      <w:tr>
        <w:trPr>
          <w:cantSplit/>
        </w:trPr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400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765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399.815185547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10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3998</w:t>
            </w:r>
          </w:p>
        </w:tc>
      </w:tr>
      <w:tr>
        <w:trPr>
          <w:cantSplit/>
        </w:trPr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450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865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449.818237305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10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4498</w:t>
            </w:r>
          </w:p>
        </w:tc>
      </w:tr>
      <w:tr>
        <w:trPr>
          <w:cantSplit/>
        </w:trPr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500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965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499.821289062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10</w:t>
            </w:r>
          </w:p>
        </w:tc>
        <w:tc>
          <w:tcPr>
            <w:tcW w:type="dxa" w:w="1967"/>
          </w:tcPr>
          <w:p>
            <w:pPr>
              <w:spacing w:after="60" w:before="40"/>
            </w:pPr>
            <w:r>
              <w:rPr>
                <w:sz w:val="18"/>
              </w:rPr>
              <w:t>4998</w:t>
            </w:r>
          </w:p>
        </w:tc>
      </w:tr>
    </w:tbl>
    <w:p>
      <w:r>
        <w:t>完整精度、文件名、阶段及名义步端点在TSV中。新旧采样最大原生时间差为0.500946秒。这一偏移对间歇羽流的影响没有被本轮证明为可忽略，不能称新数据与原精确时间数据物理等价。</w:t>
      </w:r>
    </w:p>
    <w:p>
      <w:pPr>
        <w:pStyle w:val="Heading2"/>
      </w:pPr>
      <w:r>
        <w:t>为何采用这一个规则</w:t>
      </w:r>
    </w:p>
    <w:p>
      <w:r>
        <w:t>它不使用500秒以后的状态，不需要改核心或重生成首条；规则在浓度揭盲前一次冻结，所有source/seed/两臂共用。它不是从多个时间规则中按排名选最佳。每条后续run必须复现同一张状态表，否则停止，不能临时重映射。</w:t>
      </w:r>
    </w:p>
    <w:p>
      <w:pPr>
        <w:pStyle w:val="Heading2"/>
      </w:pPr>
      <w:r>
        <w:t>路径、阶段与释放如何记录</w:t>
      </w:r>
    </w:p>
    <w:p>
      <w:r>
        <w:t>两条路径的probe坐标、顺序、速度和3秒dwell不变；按新时刻复算20段均可行，最小行进余量约32.7593秒。dwell仍不代表时间平均。名义完成步端点为49.8、99.6、149.9、…、499.9秒，仅作为步阶段解释，不冒称另测得的物理时间。</w:t>
      </w:r>
    </w:p>
    <w:p>
      <w:r>
        <w:t>t=0仍是模拟/路径起点和释放启用时刻；约0.1秒的整数释放批次保持原样。不得将所有时间减0.1后改标签。该选择下wind为7、2及八次10，不作phase sweep，不宣称采样了十种独立风相位。</w:t>
      </w:r>
    </w:p>
    <w:p>
      <w:r>
        <w:br w:type="page"/>
      </w:r>
    </w:p>
    <w:p>
      <w:pPr>
        <w:pStyle w:val="Heading1"/>
      </w:pPr>
      <w:r>
        <w:t>3  批准后只续跑原实验，不新增科学门</w:t>
      </w:r>
    </w:p>
    <w:p>
      <w:pPr>
        <w:pStyle w:val="Heading2"/>
      </w:pPr>
      <w:r>
        <w:t>先签一次，再执行一次</w:t>
      </w:r>
    </w:p>
    <w:p>
      <w:r>
        <w:t>主线程先确认：浓度/排名尚未被读取；接受新原生状态采样任务；旧HOLD记录与新amendment同时保留。签署后冻结读取器、状态表和commit，不在后续run中调整。若已有未声明浓度检查，先澄清盲态，不换seed掩盖。</w:t>
      </w:r>
    </w:p>
    <w:p>
      <w:r>
        <w:t>第一条pmfs_24_13、replica 0、seed 869241781仍属于原96条清单，按记录未揭盲，可经批准继续使用。无需丢弃，也无需为修时间再生成同seed。新启动的只有其余95条。</w:t>
      </w:r>
    </w:p>
    <w:p>
      <w:pPr>
        <w:pStyle w:val="Heading2"/>
      </w:pPr>
      <w:r>
        <w:t>科学比较原样保留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/>
          <w:cantSplit/>
        </w:trPr>
        <w:tc>
          <w:tcPr>
            <w:tcW w:type="dxa" w:w="4917"/>
          </w:tcPr>
          <w:p>
            <w:pPr>
              <w:spacing w:after="60" w:before="40"/>
            </w:pPr>
            <w:r>
              <w:rPr>
                <w:sz w:val="18"/>
              </w:rPr>
              <w:t>项目</w:t>
            </w:r>
          </w:p>
        </w:tc>
        <w:tc>
          <w:tcPr>
            <w:tcW w:type="dxa" w:w="4917"/>
          </w:tcPr>
          <w:p>
            <w:pPr>
              <w:spacing w:after="60" w:before="40"/>
            </w:pPr>
            <w:r>
              <w:rPr>
                <w:sz w:val="18"/>
              </w:rPr>
              <w:t>不改的合同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before="40"/>
            </w:pPr>
            <w:r>
              <w:rPr>
                <w:sz w:val="18"/>
              </w:rPr>
              <w:t>支持与输入</w:t>
            </w:r>
          </w:p>
        </w:tc>
        <w:tc>
          <w:tcPr>
            <w:tcW w:type="dxa" w:w="4917"/>
          </w:tcPr>
          <w:p>
            <w:pPr>
              <w:spacing w:after="60" w:before="40"/>
            </w:pPr>
            <w:r>
              <w:rPr>
                <w:sz w:val="18"/>
              </w:rPr>
              <w:t>完整624候选；12真源；8 realization/源；两路径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before="40"/>
            </w:pPr>
            <w:r>
              <w:rPr>
                <w:sz w:val="18"/>
              </w:rPr>
              <w:t>方法</w:t>
            </w:r>
          </w:p>
        </w:tc>
        <w:tc>
          <w:tcPr>
            <w:tcW w:type="dxa" w:w="4917"/>
          </w:tcPr>
          <w:p>
            <w:pPr>
              <w:spacing w:after="60" w:before="40"/>
            </w:pPr>
            <w:r>
              <w:rPr>
                <w:sz w:val="18"/>
              </w:rPr>
              <w:t>u_footprint vs rawu_footprint；同一B2；同native occurrence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before="40"/>
            </w:pPr>
            <w:r>
              <w:rPr>
                <w:sz w:val="18"/>
              </w:rPr>
              <w:t>模板</w:t>
            </w:r>
          </w:p>
        </w:tc>
        <w:tc>
          <w:tcPr>
            <w:tcW w:type="dxa" w:w="4917"/>
          </w:tcPr>
          <w:p>
            <w:pPr>
              <w:spacing w:after="60" w:before="40"/>
            </w:pPr>
            <w:r>
              <w:rPr>
                <w:sz w:val="18"/>
              </w:rPr>
              <w:t>54912条银行与全部模板hash保留；无新forward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before="40"/>
            </w:pPr>
            <w:r>
              <w:rPr>
                <w:sz w:val="18"/>
              </w:rPr>
              <w:t>主门</w:t>
            </w:r>
          </w:p>
        </w:tc>
        <w:tc>
          <w:tcPr>
            <w:tcW w:type="dxa" w:w="4917"/>
          </w:tcPr>
          <w:p>
            <w:pPr>
              <w:spacing w:after="60" w:before="40"/>
            </w:pPr>
            <w:r>
              <w:rPr>
                <w:sz w:val="18"/>
              </w:rPr>
              <w:t>nominal Δacc≥0.05 且95%区间下界&gt;0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before="40"/>
            </w:pPr>
            <w:r>
              <w:rPr>
                <w:sz w:val="18"/>
              </w:rPr>
              <w:t>压力条件</w:t>
            </w:r>
          </w:p>
        </w:tc>
        <w:tc>
          <w:tcPr>
            <w:tcW w:type="dxa" w:w="4917"/>
          </w:tcPr>
          <w:p>
            <w:pPr>
              <w:spacing w:after="60" w:before="40"/>
            </w:pPr>
            <w:r>
              <w:rPr>
                <w:sz w:val="18"/>
              </w:rPr>
              <w:t>复用state0八次；原非劣/负效应/不确定分支保持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before="40"/>
            </w:pPr>
            <w:r>
              <w:rPr>
                <w:sz w:val="18"/>
              </w:rPr>
              <w:t>CI</w:t>
            </w:r>
          </w:p>
        </w:tc>
        <w:tc>
          <w:tcPr>
            <w:tcW w:type="dxa" w:w="4917"/>
          </w:tcPr>
          <w:p>
            <w:pPr>
              <w:spacing w:after="60" w:before="40"/>
            </w:pPr>
            <w:r>
              <w:rPr>
                <w:sz w:val="18"/>
              </w:rPr>
              <w:t>10000次；PCG64 seed 2026092703；源内重采realization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before="40"/>
            </w:pPr>
            <w:r>
              <w:rPr>
                <w:sz w:val="18"/>
              </w:rPr>
              <w:t>观测依赖</w:t>
            </w:r>
          </w:p>
        </w:tc>
        <w:tc>
          <w:tcPr>
            <w:tcW w:type="dxa" w:w="4917"/>
          </w:tcPr>
          <w:p>
            <w:pPr>
              <w:spacing w:after="60" w:before="40"/>
            </w:pPr>
            <w:r>
              <w:rPr>
                <w:sz w:val="18"/>
              </w:rPr>
              <w:t>同一realization的两路径、两臂、两条件成组</w:t>
            </w:r>
          </w:p>
        </w:tc>
      </w:tr>
    </w:tbl>
    <w:p>
      <w:r>
        <w:t>本轮不增加新的Fisher、posterior、相位或低hit gate，也不更换unique tie规则。B2仍为排序评分，不临时加softmax、temperature或神经网络。[E05、E06、E08]</w:t>
      </w:r>
    </w:p>
    <w:p>
      <w:pPr>
        <w:pStyle w:val="Heading2"/>
      </w:pPr>
      <w:r>
        <w:t>分阶段归档，而不是堆满VM</w:t>
      </w:r>
    </w:p>
    <w:p>
      <w:r>
        <w:t>用户报告宿主C盘有空间；本包容量记录是采样时快照，不是实时查询。批准后逐条生成、核对元数据、复制到C盘、逐文件校验和登记。只有完整可恢复的归档验证成功且得到清理批准，才能释放对应工作副本；禁止删除唯一数据或覆盖首条原目录。</w:t>
      </w:r>
    </w:p>
    <w:p>
      <w:r>
        <w:t>54,912条用93.29分钟、银行约1.90 GiB的成本来自原记录。本轮没有复测吞吐量，也不以首条约3.73秒推断其余95条总时长。完整数据收齐后才运行科学汇总和重复评分，避免中途结果改变设计。</w:t>
      </w:r>
    </w:p>
    <w:p>
      <w:r>
        <w:br w:type="page"/>
      </w:r>
    </w:p>
    <w:p>
      <w:pPr>
        <w:pStyle w:val="Heading1"/>
      </w:pPr>
      <w:r>
        <w:t>4  主线程一次签署清单与解释边界</w:t>
      </w:r>
    </w:p>
    <w:p>
      <w:pPr>
        <w:pStyle w:val="Heading2"/>
      </w:pPr>
      <w:r>
        <w:t>采样任务</w:t>
      </w:r>
    </w:p>
    <w:p>
      <w:r>
        <w:t>确认采用固定原生状态表，不再声称精确50–500秒快照；允许的变更仅为时间/离散释放语义。</w:t>
      </w:r>
    </w:p>
    <w:p>
      <w:pPr>
        <w:pStyle w:val="Heading2"/>
      </w:pPr>
      <w:r>
        <w:t>盲态与版本</w:t>
      </w:r>
    </w:p>
    <w:p>
      <w:r>
        <w:t>旧HOLD、原pre-target、首条metadata及新amendment均存档；首条仍计入96，不替换。</w:t>
      </w:r>
    </w:p>
    <w:p>
      <w:pPr>
        <w:pStyle w:val="Heading2"/>
      </w:pPr>
      <w:r>
        <w:t>方法与数据</w:t>
      </w:r>
    </w:p>
    <w:p>
      <w:r>
        <w:t>支持624、全部源/seed、模板、评分、阈值和CI均保持；无新候选forward。</w:t>
      </w:r>
    </w:p>
    <w:p>
      <w:pPr>
        <w:pStyle w:val="Heading2"/>
      </w:pPr>
      <w:r>
        <w:t>运行管理</w:t>
      </w:r>
    </w:p>
    <w:p>
      <w:r>
        <w:t>剩余95条逐条执行和归档；任一元组或哈希不符停止；不根据浓度重定时。</w:t>
      </w:r>
    </w:p>
    <w:p>
      <w:pPr>
        <w:pStyle w:val="Heading2"/>
      </w:pPr>
      <w:r>
        <w:t>结果归属</w:t>
      </w:r>
    </w:p>
    <w:p>
      <w:r>
        <w:t>所得结果属于修订后的AOD确认，不是原时间合同PASS，不用于选择dANN结构。</w:t>
      </w:r>
    </w:p>
    <w:p>
      <w:pPr>
        <w:pStyle w:val="Heading2"/>
      </w:pPr>
      <w:r>
        <w:t>哪些结论不能从本次HOLD推出</w:t>
      </w:r>
    </w:p>
    <w:p>
      <w:r>
        <w:t>它不表示u或rawu定位失败，不表示树突网络更优，也不构成新的物理机制。无需因此放弃现有AOD，也无需让神经网络来“解决”时间戳。未来神经网络开发若继续，只使用既有OPEN数据；House03的这批确认不能顺手变成结构/超参数选择集。</w:t>
      </w:r>
    </w:p>
    <w:p>
      <w:r>
        <w:t>本次建议不证明0.5秒内的观测都等价，不证明所有GADEN参数接口正确，不证明真实无人机实时可用；本轮只定位并解决已知时间合同冲突。对固定模型输入的其他假设，保持原有解释边界。</w:t>
      </w:r>
    </w:p>
    <w:p>
      <w:pPr>
        <w:pStyle w:val="Heading2"/>
      </w:pPr>
      <w:r>
        <w:t>前期流程应改的一点</w:t>
      </w:r>
    </w:p>
    <w:p>
      <w:r>
        <w:t>“第0秒必须已有整数filament”以及“原生writer必须包含1e-9秒精度的整数时刻”可以在正式生成前用几十行时钟/累加器检查发现。后续应把这类软件语义检查前置，不再把它们留给fresh实验反复触发HOLD；这不需要新增物理gate。</w:t>
      </w:r>
    </w:p>
    <w:p>
      <w:pPr>
        <w:pStyle w:val="Heading2"/>
      </w:pPr>
      <w:r>
        <w:t>证据目录</w:t>
      </w:r>
    </w:p>
    <w:p>
      <w:pPr>
        <w:pStyle w:val="Caption"/>
      </w:pPr>
      <w:r>
        <w:t>[E01] EXECUTION_REPORT.md；[E02] protocol/01_TIME_AND_OBSERVATION_CONTRACT.md；[E03] RunningSimulation.cpp:78–143；[E04] filament_simulator_timebase.cpp:148–185；[E05] primary endpoint；[E06] final decision；[E07] TIMEBASE_AUDIT.json；[E08] full624 template contract；[E09] release metadata；[E10] frozen launch options。</w:t>
      </w:r>
    </w:p>
    <w:p>
      <w:pPr>
        <w:pStyle w:val="Caption"/>
      </w:pPr>
      <w:r>
        <w:t>全部原文带行号与哈希见06_SOURCE_EXCERPTS.txt。05_AUDIT_OUTPUT是本轮复算；02、03均为尚未批准的建议，不是已发生的执行。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独立只读复核 · 2026-09-27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UAV GSL  /  AOD F1 时间合同审查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Calibri" w:hAnsi="Calibri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143A5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143A5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Calibri" w:hAnsi="Calibri" w:eastAsia="Noto Sans CJK SC"/>
      <w:b/>
      <w:color w:val="143A5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8" w:lineRule="auto"/>
    </w:pPr>
    <w:rPr>
      <w:rFonts w:ascii="Calibri" w:hAnsi="Calibri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8" w:lineRule="auto" w:after="120"/>
    </w:pPr>
    <w:rPr>
      <w:rFonts w:ascii="Calibri" w:hAnsi="Calibri" w:eastAsia="Noto Sans CJK SC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AOD F1 时间阻断：独立复核与一次修订建议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