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不是再加一个 mark 网络</w:t>
        <w:br/>
        <w:t>先纠正幅度读出的空间分辨率</w:t>
      </w:r>
    </w:p>
    <w:p>
      <w:r>
        <w:rPr>
          <w:b/>
        </w:rPr>
        <w:t>Marked-Encounter PMFS D0：原始证据复核、确定性开发消融与具体改进</w:t>
      </w:r>
    </w:p>
    <w:p>
      <w:r>
        <w:rPr>
          <w:b w:val="0"/>
        </w:rPr>
        <w:t>输入：MARKED_ENCOUNTER_PMFS_D0_REVIEW_20260927.zip。沿用附件日期标签；全部新计算仅使用已经 OPEN 的保存 maps、references 与 targets。</w:t>
      </w:r>
    </w:p>
    <w:p>
      <w:pPr>
        <w:pStyle w:val="Heading2"/>
      </w:pPr>
      <w:r>
        <w:t>唯一执行建议</w:t>
      </w:r>
    </w:p>
    <w:p>
      <w:r>
        <w:rPr>
          <w:b/>
        </w:rPr>
        <w:t>保留 Native occurrence 分支与原 D0 判决。幅度分支改用模糊之前的原始平均计数 rawu，不再复用 hit-map 的 1.5 格 Gaussian blur；先配现有 B2 单一正比例连续值评分，不与 occurrence 分数手工相加。物理 probe 覆盖区域投影作为读出接口，但本批数据未发现它独立增加排名收益。</w:t>
      </w:r>
    </w:p>
    <w:p>
      <w:pPr>
        <w:pStyle w:val="Heading2"/>
      </w:pPr>
      <w:r>
        <w:t>已经取得的具体开发结果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六源任务；mean rank / 唯一Top-1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H01 fast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H02 W0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H02 W2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原 B0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1.5000 / 50.00%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1.7500 / 50.00%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1.5000 / 50.00%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原 M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1.5000 / 50.00%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1.7083 / 54.17%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1.5000 / 50.00%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包内原 B2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1.3333 / 75.00%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1.5000 / 58.33%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1.4583 / 58.33%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本轮 rawu＋同一 B2（事后）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1.3333 / 75.00%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1.2917 / 79.17%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1.2083 / 79.17%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原 U；不可部署诊断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1.2500 / 75.00%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1.5833 / 66.67%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1.3333 / 66.67%</w:t>
            </w:r>
          </w:p>
        </w:tc>
      </w:tr>
    </w:tbl>
    <w:p>
      <w:r>
        <w:rPr>
          <w:b w:val="0"/>
        </w:rPr>
        <w:t>原 B2 为 46/72 正确；rawu＋相同 B2 为 56/72，新增 10 条正确定位、没有使原 B2 正确的 target 变错。这 10 条集中于 4/18 个 environment–source 单元，不能当作 10 次独立物理机制确认。</w:t>
      </w:r>
    </w:p>
    <w:p>
      <w:pPr>
        <w:pStyle w:val="Heading2"/>
      </w:pPr>
      <w:r>
        <w:t>结论边界</w:t>
      </w:r>
    </w:p>
    <w:p>
      <w:r>
        <w:rPr>
          <w:b w:val="0"/>
        </w:rPr>
        <w:t>这不是把原 M 改判 PASS，也没有建立新主创新。它给出了一个已经算出收益、可以直接落到代码的局部改进位置：幅度通道的数值平滑会损伤本批近邻源的空间对比。未证明“永不平滑”普适，也未检验真实 UAV、任意 probe 或新 source。</w:t>
      </w:r>
    </w:p>
    <w:p>
      <w:r>
        <w:br w:type="page"/>
      </w:r>
    </w:p>
    <w:p>
      <w:pPr>
        <w:pStyle w:val="Heading1"/>
      </w:pPr>
      <w:r>
        <w:t>1  原结果保留，但“forward 完全无信息”不成立</w:t>
      </w:r>
    </w:p>
    <w:p>
      <w:r>
        <w:rPr>
          <w:b w:val="0"/>
        </w:rPr>
        <w:t>原 D0 的 M 六项门为 true、true、false、true、true、true；U 四项为 true。原判决 ME_PMFS_D0_MARK_INFORMATION_FORWARD_INADEQUATE 保留。这只是当前协议的标签，不是“粒子计数与浓度不存在任何可用联系”的定理。[A1]</w:t>
      </w:r>
    </w:p>
    <w:p>
      <w:pPr>
        <w:pStyle w:val="Heading2"/>
      </w:pPr>
      <w:r>
        <w:t>摘要中遗漏的 B2 很重要</w:t>
      </w:r>
    </w:p>
    <w:p>
      <w:r>
        <w:rPr>
          <w:b w:val="0"/>
        </w:rPr>
        <w:t>原始 D0_RESULT.json 已记录：B2 在三个环境的 mean rank 和 Top-1 均优于 B0。它使用与 M 同一批 PMFS forward 产生的 unconditional mean u，仅拟合一个非负比例系数。因而，“再发明一个新的随机分布或网络才能开始改善定位”没有得到现有证据支持。</w:t>
      </w:r>
    </w:p>
    <w:p>
      <w:pPr>
        <w:spacing w:after="160"/>
        <w:ind w:left="198"/>
      </w:pPr>
      <w:r>
        <w:rPr>
          <w:rFonts w:ascii="DejaVu Sans" w:hAnsi="DejaVu Sans"/>
          <w:sz w:val="20"/>
        </w:rPr>
        <w:t>ĝs = max(0, ⟨y, us⟩ / ⟨us, us⟩)</w:t>
        <w:br/>
        <w:t>SSEs = ‖y − ĝs us‖²</w:t>
      </w:r>
    </w:p>
    <w:p>
      <w:r>
        <w:rPr>
          <w:b w:val="0"/>
        </w:rPr>
        <w:t>这是普通的尺度拟合，不是新理论。它保留空间相对幅度而舍弃一个整体增益，与 M 对正值对数模板同时消去截距、斜率和残差尺度不同。B2 的 mean paired-SSE advantage 在两个 H02 环境仍为负；因此不能把 B2 的排名改善追认为通过原 M 的全部门。</w:t>
      </w:r>
    </w:p>
    <w:p>
      <w:pPr>
        <w:pStyle w:val="Heading2"/>
      </w:pPr>
      <w:r>
        <w:t>本轮复核范围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输入 ZIP SHA256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7a3e436900ab2696c2d7148215cd58b6632a017e447583f77c9c864b56f9c56c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清单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12,979 项全部通过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原 occurrence 分数最大差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2.27 × 10⁻¹³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原 M / U mark 分数最大差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4.27 × 10⁻¹⁴ / 5.69 × 10⁻¹⁴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原 B2 SSE 最大差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4.66 × 10⁻¹⁰；相对差约 10⁻¹⁶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执行范围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读取保存工件；无 GADEN / PMFS forward、无随机抽样、无训练、无 sealed 数据</w:t>
            </w:r>
          </w:p>
        </w:tc>
      </w:tr>
    </w:tbl>
    <w:p>
      <w:r>
        <w:rPr>
          <w:b w:val="0"/>
        </w:rPr>
        <w:t>本轮另有确定性 posthoc 对照；完整尝试清单在第 8 节。它们不拥有 target-blind 身份。12 个重新生成的 CSV按实际清单复核，包内记录了可重复文件；不能将独立复算与 fresh confirmation 混为一谈。</w:t>
      </w:r>
    </w:p>
    <w:p>
      <w:r>
        <w:br w:type="page"/>
      </w:r>
    </w:p>
    <w:p>
      <w:pPr>
        <w:pStyle w:val="Heading1"/>
      </w:pPr>
      <w:r>
        <w:t>2  M 在哪里失去判别力？</w:t>
      </w:r>
    </w:p>
    <w:p>
      <w:pPr>
        <w:pStyle w:val="Heading2"/>
      </w:pPr>
      <w:r>
        <w:t>自由 profile 会识别“形状等价”，而不是恢复一切幅度信息</w:t>
      </w:r>
    </w:p>
    <w:p>
      <w:pPr>
        <w:spacing w:after="160"/>
        <w:ind w:left="198"/>
      </w:pPr>
      <w:r>
        <w:rPr>
          <w:rFonts w:ascii="DejaVu Sans" w:hAnsi="DejaVu Sans"/>
          <w:sz w:val="20"/>
        </w:rPr>
        <w:t>xs = log μs；z = log C</w:t>
        <w:br/>
        <w:t>RSSs = min(a∈R, b≥0) ‖z − a − b xs‖²</w:t>
        <w:br/>
        <w:t>RSSs = Szz [1 − max(rs,0)²]</w:t>
      </w:r>
    </w:p>
    <w:p>
      <w:r>
        <w:rPr>
          <w:b w:val="0"/>
        </w:rPr>
        <w:t>公式最后一行在方差非零且 floor 未触发时成立。若 xb = α + β xa，β&gt;0，两候选的 mark score 相同。候选之间本可用于识别的对比度变化，可能与未知传感器幂律一起被消去。</w:t>
      </w:r>
    </w:p>
    <w:p>
      <w:r>
        <w:rPr>
          <w:b w:val="0"/>
        </w:rPr>
        <w:t>参考模板上，在两源均为正的 probe 集合内，9 个冻结邻源对的 conditional-log-mark 相关系数为 0.981–0.9997。它是同一物理家族的近似相似，而不是严格等价证明，也不能直接代替 target 的正值掩码。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M incremental paired mark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H01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H02 W0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H02 W2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均值（原结果）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+0.280249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+0.285821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+0.042637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中位数（事后）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+0.031761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+0.015747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改变 B0 真源 rank 的 target 数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0/24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1/24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0/24</w:t>
            </w:r>
          </w:p>
        </w:tc>
      </w:tr>
    </w:tbl>
    <w:p>
      <w:r>
        <w:rPr>
          <w:b w:val="0"/>
        </w:rPr>
        <w:t>本批 target 最少有 12 个 positive entries，n&lt;4 的退回规则没有触发。因此当前失效不能归因于低-hit保护；低-hit仍是未来部署的独立限制。</w:t>
      </w:r>
    </w:p>
    <w:p>
      <w:pPr>
        <w:pStyle w:val="Heading2"/>
      </w:pPr>
      <w:r>
        <w:t>不是把 b 固定为 1 就解决了</w:t>
      </w:r>
    </w:p>
    <w:p>
      <w:r>
        <w:rPr>
          <w:b w:val="0"/>
        </w:rPr>
        <w:t>我只做了一个不调参的机制诊断：原 M 保持 occurrence、μ、floor 不变，将 b 固定为 1，仅 profile 对数截距与残差尺度。H01 rank 改善到 1.3333，但 H02 W0仍为1.7083，另一 H02仍为1.5000且 paired mark均值为负。不能把这次不完整改善推荐成唯一修复。</w:t>
      </w:r>
    </w:p>
    <w:p>
      <w:pPr>
        <w:pStyle w:val="Heading2"/>
      </w:pPr>
      <w:r>
        <w:t>U 比 M 还多了一种信息</w:t>
      </w:r>
    </w:p>
    <w:p>
      <w:r>
        <w:rPr>
          <w:b w:val="0"/>
        </w:rPr>
        <w:t>M 的30维空间模板重复10次；U实际是每个(time, probe)独立从12条reference计算的300维条件均值。它是source/reference精度与时间分辨率的联合比较。[A2] 本轮将U先在reference中合并时间再条件化，静态U rank仍为1.2917／1.6667／1.4167，Top-1为70.83%／58.33%／58.33%。因此部分差距不是时间独占，但不能将完整U收益都归因于multiplicity的物理错误。</w:t>
      </w:r>
    </w:p>
    <w:p>
      <w:r>
        <w:br w:type="page"/>
      </w:r>
    </w:p>
    <w:p>
      <w:pPr>
        <w:pStyle w:val="Heading1"/>
      </w:pPr>
      <w:r>
        <w:t>3  新的定位：幅度分支继承了并不匹配的 blur</w:t>
      </w:r>
    </w:p>
    <w:p>
      <w:r>
        <w:rPr>
          <w:b w:val="0"/>
        </w:rPr>
        <w:t>执行代码先保存 rawp、rawu，然后对 u 再作 GaussianBlur 与 occupancy correction；最终 bank 从模糊后的 u 中取 probe 所在 cell。σx=σy=1.5格，cell≈0.30 m，所以 σ≈0.45 m，一维 FWHM≈1.06 m。[A3] 相邻源仅相距0.30 m，真实 probe 为2×2个0.10 m native cell的均值，覆盖约0.20×0.20 m。</w:t>
      </w:r>
    </w:p>
    <w:p>
      <w:r>
        <w:rPr>
          <w:b w:val="0"/>
        </w:rPr>
        <w:t>不能仅凭这些长度就宣判模糊错误：原PMFS有模型鲁棒性目的，且其hit-map抽象是有意设计。[R1] 但相同blur并不天然适合新增的幅度读出。这需要在同一个评分器下直接比较。</w:t>
      </w:r>
    </w:p>
    <w:p>
      <w:pPr>
        <w:pStyle w:val="Heading2"/>
      </w:pPr>
      <w:r>
        <w:t>固定四格消融；同一 B2，无参数搜索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平均rank / Top-1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H01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H02 W0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H02 W2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模糊u＋所在cell：原B2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1.3333 / 75.00%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1.5000 / 58.33%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1.4583 / 58.33%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模糊u＋精确probe面积平均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1.3333 / 75.00%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1.5000 / 58.33%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1.4583 / 58.33%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rawu＋所在cell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1.3333 / 75.00%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1.2917 / 79.17%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1.2083 / 79.17%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rawu＋精确probe面积平均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1.3333 / 75.00%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1.2917 / 79.17%</w:t>
            </w:r>
          </w:p>
        </w:tc>
        <w:tc>
          <w:tcPr>
            <w:tcW w:type="dxa" w:w="2438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1.2083 / 79.17%</w:t>
            </w:r>
          </w:p>
        </w:tc>
      </w:tr>
    </w:tbl>
    <w:p>
      <w:r>
        <w:rPr>
          <w:b w:val="0"/>
        </w:rPr>
        <w:t>结论：本批排名改善来自是否使用后处理blur，而不是probe面积投影的额外作用。不能把整个收益写成“更精确probe integration成功”。四格结果及全部候选SSE均已保存。</w:t>
      </w:r>
    </w:p>
    <w:p>
      <w:pPr>
        <w:pStyle w:val="Heading2"/>
      </w:pPr>
      <w:r>
        <w:t>一个可以事前从forward算出的解释量</w:t>
      </w:r>
    </w:p>
    <w:p>
      <w:pPr>
        <w:spacing w:after="160"/>
        <w:ind w:left="198"/>
      </w:pPr>
      <w:r>
        <w:rPr>
          <w:rFonts w:ascii="DejaVu Sans" w:hAnsi="DejaVu Sans"/>
          <w:sz w:val="20"/>
        </w:rPr>
        <w:t>da,b² = 1 − cos²(ua, ub)</w:t>
      </w:r>
    </w:p>
    <w:p>
      <w:r>
        <w:rPr>
          <w:b w:val="0"/>
        </w:rPr>
        <w:t>该量表示正尺度不辨性以外的方向分离。9/9邻源对的rawu分离均高于blurred-u；raw/blur比值中位数4.30，范围1.48–11.29。它只描述预测模板几何，不是观测层真信息、互信息或定位准确率定理。模板差异变大也不自动更正确。</w:t>
      </w:r>
    </w:p>
    <w:p>
      <w:r>
        <w:rPr>
          <w:b w:val="0"/>
        </w:rPr>
        <w:t>初次面积投影检查同时去掉blur，看到改善后，本轮立即补齐其余两格；全部属于已揭盲OPEN数据上的事后开发，没有把它伪称预注册消融。未扫kernel宽度、未调gain规则、未挑source、未删target。</w:t>
      </w:r>
    </w:p>
    <w:p>
      <w:r>
        <w:br w:type="page"/>
      </w:r>
    </w:p>
    <w:p>
      <w:pPr>
        <w:pStyle w:val="Heading1"/>
      </w:pPr>
      <w:r>
        <w:t>4  具体改法：两条读出通道，不是全局 blur=0</w:t>
      </w:r>
    </w:p>
    <w:p>
      <w:pPr>
        <w:pStyle w:val="Heading2"/>
      </w:pPr>
      <w:r>
        <w:t>保留原生发生通道</w:t>
      </w:r>
    </w:p>
    <w:p>
      <w:r>
        <w:rPr>
          <w:b w:val="0"/>
        </w:rPr>
        <w:t>Native p、原planner与原source-update均不改变。计数器 OFF/ON 的parity继续作为回归测试。不要把幅度通道的发现泛化为“原PMFS所有hit-map都应该不平滑”。</w:t>
      </w:r>
    </w:p>
    <w:p>
      <w:pPr>
        <w:pStyle w:val="Heading2"/>
      </w:pPr>
      <w:r>
        <w:t>幅度通道只使用已有raw平均计数</w:t>
      </w:r>
    </w:p>
    <w:p>
      <w:pPr>
        <w:spacing w:after="160"/>
        <w:ind w:left="198"/>
      </w:pPr>
      <w:r>
        <w:rPr>
          <w:rFonts w:ascii="DejaVu Sans" w:hAnsi="DejaVu Sans"/>
          <w:sz w:val="20"/>
        </w:rPr>
        <w:t>Ns,j = mean(state, replica)[rawu(s, state, replica, cell j)]</w:t>
        <w:br/>
        <w:t>ρs,j = Ns,j / Aj</w:t>
        <w:br/>
        <w:t>ms,q = Σj |Vq ∩ Cj| ρs,j / |Vq|</w:t>
      </w:r>
    </w:p>
    <w:p>
      <w:r>
        <w:rPr>
          <w:b w:val="0"/>
        </w:rPr>
        <w:t>Aj是二维格面积，Vq是实际probe足迹。ρ是每平方米的计数代理；未给出粒子质量、有效厚度与三维输运证据前，不叫ppm。单位常数由B2的公共形式正增益吸收，不产生新的源空间结构。当前结果表也报告原所在cell版本，便于最大限度隔离blur因素。</w:t>
      </w:r>
    </w:p>
    <w:p>
      <w:r>
        <w:rPr>
          <w:b w:val="0"/>
        </w:rPr>
        <w:t>代码入口已实现：mean_count_maps、rectangular_average_matrix、scale_profile_sse。面积权重仅用原合同坐标与native索引推导，未用target值。边界外覆盖率不自动归一化；本批覆盖率为1，自由格覆盖约1（小偏差来自坐标浮点）。</w:t>
      </w:r>
    </w:p>
    <w:p>
      <w:pPr>
        <w:pStyle w:val="Heading2"/>
      </w:pPr>
      <w:r>
        <w:t>最小实现diff</w:t>
      </w:r>
    </w:p>
    <w:p>
      <w:pPr>
        <w:spacing w:after="160"/>
        <w:ind w:left="198"/>
      </w:pPr>
      <w:r>
        <w:rPr>
          <w:rFonts w:ascii="DejaVu Sans" w:hAnsi="DejaVu Sans"/>
          <w:sz w:val="20"/>
        </w:rPr>
        <w:t>原：count → GaussianBlur → mask correction → sample → B2</w:t>
        <w:br/>
        <w:t>新：raw count → known observation footprint → sample → 同一B2</w:t>
      </w:r>
    </w:p>
    <w:p>
      <w:r>
        <w:rPr>
          <w:b w:val="0"/>
        </w:rPr>
        <w:t>不加年龄MLP，不重拟合多源目标bank，不恢复独立单丝合成，不增加风state权重，不把M强制融合到B2，不通过RSS floor或温度改变已知结果。</w:t>
      </w:r>
    </w:p>
    <w:p>
      <w:pPr>
        <w:pStyle w:val="Heading2"/>
      </w:pPr>
      <w:r>
        <w:t>为什么不直接“乘上更多信息”？</w:t>
      </w:r>
    </w:p>
    <w:p>
      <w:r>
        <w:rPr>
          <w:b w:val="0"/>
        </w:rPr>
        <w:t>B2使用含零值的同一浓度观测；再乘一次从这些浓度阈值化得到的occurrence evidence，一般会重复使用信息。联合分解必须从一个一致的观测模型得到，不能用“两个分数都好”作为条件独立的证明。当前推荐的开发比较是单一连续值读出，不是恢复原M。</w:t>
      </w:r>
    </w:p>
    <w:p>
      <w:pPr>
        <w:pStyle w:val="Heading2"/>
      </w:pPr>
      <w:r>
        <w:t>计算成本与有限性</w:t>
      </w:r>
    </w:p>
    <w:p>
      <w:r>
        <w:rPr>
          <w:b w:val="0"/>
        </w:rPr>
        <w:t>全部改进使用已归档的1584条PMFS forward，不生成新的轨迹。在线只多一个读出与源评分；但1584条库的离线成本、全风场输入、6-source支持、静态10×30观测仍是当前试验条件，不代表实时168/630源或真实稀疏UAV已经完成。</w:t>
      </w:r>
    </w:p>
    <w:p>
      <w:r>
        <w:br w:type="page"/>
      </w:r>
    </w:p>
    <w:p>
      <w:pPr>
        <w:pStyle w:val="Heading1"/>
      </w:pPr>
      <w:r>
        <w:t>5  从分数到源概率图：不要再隐含一个新温度</w:t>
      </w:r>
    </w:p>
    <w:p>
      <w:r>
        <w:rPr>
          <w:b w:val="0"/>
        </w:rPr>
        <w:t>当前开发结果只建立了排名与Top-1改善。SSE的量纲为ppm²，直接对 −SSE 作softmax会任意改变概率锐度，不能据此报告可靠source posterior。</w:t>
      </w:r>
    </w:p>
    <w:p>
      <w:pPr>
        <w:pStyle w:val="Heading2"/>
      </w:pPr>
      <w:r>
        <w:t>可部署概率接口应显式给出观测尺度与gain先验</w:t>
      </w:r>
    </w:p>
    <w:p>
      <w:pPr>
        <w:spacing w:after="160"/>
        <w:ind w:left="198"/>
      </w:pPr>
      <w:r>
        <w:rPr>
          <w:rFonts w:ascii="DejaVu Sans" w:hAnsi="DejaVu Sans"/>
          <w:sz w:val="20"/>
        </w:rPr>
        <w:t>Ls(y) = ∫ p(y | g ms, η) p(g,η | 合法标定资料) dg dη</w:t>
        <w:br/>
        <w:t>q(s | y) = πs Ls(y) / Σb πb Lb(y)</w:t>
      </w:r>
    </w:p>
    <w:p>
      <w:r>
        <w:rPr>
          <w:b w:val="0"/>
        </w:rPr>
        <w:t>g的含义限定为源强与线性传感器增益的合成尺度；η表示预先规定的传感器／残差模型。同一先验和同一观测尺度适用于所有候选，不由当前真源标签选择。传感器非线性不能被一个未知g自动解决。</w:t>
      </w:r>
    </w:p>
    <w:p>
      <w:r>
        <w:rPr>
          <w:b w:val="0"/>
        </w:rPr>
        <w:t>这不是建议现在新增一个分布家族搜索。第一项提交先把rawu+B2读出复现并实现，评分头不再同时修改。概率接口需要在OPEN/reference开发资料上单独确定其固定合同，随后新targets才可检验proper score；当前72条已用于发现不能重新算确认。</w:t>
      </w:r>
    </w:p>
    <w:p>
      <w:pPr>
        <w:pStyle w:val="Heading2"/>
      </w:pPr>
      <w:r>
        <w:t>幅度信息与nuisance的精确边界</w:t>
      </w:r>
    </w:p>
    <w:p>
      <w:pPr>
        <w:spacing w:after="160"/>
        <w:ind w:left="198"/>
      </w:pPr>
      <w:r>
        <w:rPr>
          <w:rFonts w:ascii="DejaVu Sans" w:hAnsi="DejaVu Sans"/>
          <w:sz w:val="20"/>
        </w:rPr>
        <w:t>SSEs = ‖y‖² − max(0, ⟨y, ms⟩)² / ‖ms‖²</w:t>
      </w:r>
    </w:p>
    <w:p>
      <w:r>
        <w:rPr>
          <w:b w:val="0"/>
        </w:rPr>
        <w:t>B2本质上比较非负模板方向，能消除整体正比例，但没有任意幂律不变性。若两源模板仅差常数倍，仍不可分。未知gain、未知幂指数、未知时变释放全部自由时，少量hit可能不足以定位；不能为了保证稀疏部署而预支信息。</w:t>
      </w:r>
    </w:p>
    <w:p>
      <w:pPr>
        <w:pStyle w:val="Heading2"/>
      </w:pPr>
      <w:r>
        <w:t>不应过度解释U</w:t>
      </w:r>
    </w:p>
    <w:p>
      <w:r>
        <w:rPr>
          <w:b w:val="0"/>
        </w:rPr>
        <w:t>rawu+B2这批aggregate指标优于U的部分指标，不是“超过理论上界”。U只是更高保真reference模板与另一套profile评分的诊断，它从来不是Bayes上界。两者有输入与评分差异，不能把这一比较当作新头优于所有oracle。</w:t>
      </w:r>
    </w:p>
    <w:p>
      <w:r>
        <w:br w:type="page"/>
      </w:r>
    </w:p>
    <w:p>
      <w:pPr>
        <w:pStyle w:val="Heading1"/>
      </w:pPr>
      <w:r>
        <w:t>6  什么会击败这项改进？怎样只做一次有用确认？</w:t>
      </w:r>
    </w:p>
    <w:p>
      <w:pPr>
        <w:pStyle w:val="Heading2"/>
      </w:pPr>
      <w:r>
        <w:t>目前最强反方</w:t>
      </w:r>
    </w:p>
    <w:p>
      <w:r>
        <w:rPr>
          <w:b w:val="0"/>
        </w:rPr>
        <w:t>rawu的锐利形状可能利用固定PMFS网格、恰好贴近源的probe与精确模拟输入；模糊在风、定位和几何有误时可能恢复优势。本轮不能据此推广“σ越小越好”。改善仅出现在4个environment–source单元；有效空间样本不等于72×300。</w:t>
      </w:r>
    </w:p>
    <w:p>
      <w:r>
        <w:rPr>
          <w:b w:val="0"/>
        </w:rPr>
        <w:t>二维计数没有为不同高度和年龄的粒子提供真实贡献核。当前成功可以是真正的近邻空间证据，也可能含数值网格fingerprint；这些解释尚未由新source、subcell位置与真实传感器实验区分。</w:t>
      </w:r>
    </w:p>
    <w:p>
      <w:pPr>
        <w:pStyle w:val="Heading2"/>
      </w:pPr>
      <w:r>
        <w:t>下一份CodeX提交应直接交方法，不再交理论任务书</w:t>
      </w:r>
    </w:p>
    <w:p>
      <w:r>
        <w:rPr>
          <w:b w:val="0"/>
        </w:rPr>
        <w:t>第一步用附带代码在原review上重放四格结果；第二步在独立开发分支新增 amplitude_readout=raw/footprint 路径，保留native p，冻结同一个B2对照；同一次提交交出数据合同、代码diff、全部候选分数与计算成本。无须重跑1584条forward，除非实际工程未保存所需rawu；本包已保存。</w:t>
      </w:r>
    </w:p>
    <w:p>
      <w:r>
        <w:rPr>
          <w:b w:val="0"/>
        </w:rPr>
        <w:t>不需要给当前事后结果编一个PASS门。独立复算只是排除实现错误；之后才由主线程授权一份新target确认。若可以利用既有OPEN的未用于该读出的源与probe作为开发压力测试，应如实标注其历史使用，不假称全新环境确认。</w:t>
      </w:r>
    </w:p>
    <w:p>
      <w:pPr>
        <w:pStyle w:val="Heading2"/>
      </w:pPr>
      <w:r>
        <w:t>一次新确认应固定的问题</w:t>
      </w:r>
    </w:p>
    <w:p>
      <w:r>
        <w:rPr>
          <w:b w:val="0"/>
        </w:rPr>
        <w:t>只比较同一连续评分器下，原blurred mean与未加显示/正则化blur的幅度读出。相同候选支持、prior、seed、观测轨迹、增益与校准规则。source只按几何选择，包含未见近邻与非网格中心偏移；样本预算与最小效应在读取新target前签署。不是当前自动授权House03、H01 DEV或新plume。</w:t>
      </w:r>
    </w:p>
    <w:p>
      <w:r>
        <w:rPr>
          <w:b w:val="0"/>
        </w:rPr>
        <w:t>停止规则：若独立新数据不能复现相对于原B2的优势、优势只在原cell中心/高密probe成立、概率接口明显失校准或依赖目标反事实多源bank，则不升主线。不能退而挑一个更好sigma、换source、换seed后继续沿用同一确认。</w:t>
      </w:r>
    </w:p>
    <w:p>
      <w:pPr>
        <w:pStyle w:val="Heading2"/>
      </w:pPr>
      <w:r>
        <w:t>原状态不变</w:t>
      </w:r>
    </w:p>
    <w:p>
      <w:r>
        <w:rPr>
          <w:b w:val="0"/>
        </w:rPr>
        <w:t>ME_PMFS_D0_MARK_INFORMATION_FORWARD_INADEQUATE保留；JTD等旧STOP不恢复。新增结果仅命名为“OPEN amplitude readout posthoc development finding”，没有新的科学PASS。</w:t>
      </w:r>
    </w:p>
    <w:p>
      <w:r>
        <w:br w:type="page"/>
      </w:r>
    </w:p>
    <w:p>
      <w:pPr>
        <w:pStyle w:val="Heading1"/>
      </w:pPr>
      <w:r>
        <w:t>7  主创新的边界与2025/2026远领域参照</w:t>
      </w:r>
    </w:p>
    <w:p>
      <w:r>
        <w:rPr>
          <w:b w:val="0"/>
        </w:rPr>
        <w:t>把blur改成0、做尺度拟合或积分一个已知probe足迹，都不足以成为高水平主创新。本轮有价值的是定位到一个可以实验改变的误差来源，并交付了实际改善，不再由算法名称代替证据。</w:t>
      </w:r>
    </w:p>
    <w:p>
      <w:pPr>
        <w:pStyle w:val="Heading2"/>
      </w:pPr>
      <w:r>
        <w:t>最贴切的理论参照：计算成像中的观测形成与空间响应核</w:t>
      </w:r>
    </w:p>
    <w:p>
      <w:r>
        <w:rPr>
          <w:b w:val="0"/>
        </w:rPr>
        <w:t>Nature Methods 2025的Ring deconvolution microscopy指出，一致的空间不变PSF假设可能不适用；作者利用成像系统对称性处理空间变化的响应，并提供代码。[R2] 可借鉴的原则是区分物理成像核、数值正则化和读出信息；不能把其光学旋转对称性、反卷积定理或深度网络直接移植到羽流。</w:t>
      </w:r>
    </w:p>
    <w:p>
      <w:r>
        <w:rPr>
          <w:b w:val="0"/>
        </w:rPr>
        <w:t>2026 Nature Communications的device-agnostic super-resolution工作同样围绕不同仪器成像条件与重建进行研究，并开放代码。[R3] 它不是“气体图可以任意锐化”的依据，也不证明未知输运模型已经可由当前UAV观测识别。</w:t>
      </w:r>
    </w:p>
    <w:p>
      <w:pPr>
        <w:pStyle w:val="Heading2"/>
      </w:pPr>
      <w:r>
        <w:t>我们尚需形成的实质增量</w:t>
      </w:r>
    </w:p>
    <w:p>
      <w:r>
        <w:rPr>
          <w:b w:val="0"/>
        </w:rPr>
        <w:t>若继续发展，应构造由传感器与采样合同决定、能在风/位姿不确定性下保留源对对比的观测模型，并说明其在什么源间距离/空间分辨率条件下优于把整个预测场统一模糊。至少需要同预算强对照、新source及稀疏单机观测的验证。当前只有一个具体机制候选：幅度与hit-map需要不同的读出分辨率，不是已经成立的新理论。</w:t>
      </w:r>
    </w:p>
    <w:p>
      <w:pPr>
        <w:pStyle w:val="Heading2"/>
      </w:pPr>
      <w:r>
        <w:t>近邻先例不能绕过</w:t>
      </w:r>
    </w:p>
    <w:p>
      <w:r>
        <w:rPr>
          <w:b w:val="0"/>
        </w:rPr>
        <w:t>PMFS原论文明确以hit-map取代精确浓度以应对模型不准；其目的不是在所有场景最大化幅度细节。[R1] 2017 Sensors已从binary定位扩展到浓度似然和背景噪声处理。[R4] ICRA 2026的浓度排名方法已研究免标定幅度利用。[R5] 因而“保留幅度”“正值mark”“gain不变”不能独立认领。</w:t>
      </w:r>
    </w:p>
    <w:p>
      <w:pPr>
        <w:pStyle w:val="Heading2"/>
      </w:pPr>
      <w:r>
        <w:t>适合当前对老师的表述</w:t>
      </w:r>
    </w:p>
    <w:p>
      <w:r>
        <w:rPr>
          <w:b w:val="0"/>
        </w:rPr>
        <w:t>我们发现，气源定位中的信息损失不只来自二值化，也可能发生在将简化前向场变成观测模板的过程中。当前OPEN开发分析显示：对幅度通道复用较宽的hit-map平滑，会降低邻源模板的相对幅度对比；在不改变输运动力学的条件下，保留原始平均计数的空间结构改善了若干环境的定位。下一步验证其在未知源位置、稀疏采样及模型误差下能否稳定成立；目前不将其表述为已确认的主创新。</w:t>
      </w:r>
    </w:p>
    <w:p>
      <w:r>
        <w:br w:type="page"/>
      </w:r>
    </w:p>
    <w:p>
      <w:pPr>
        <w:pStyle w:val="Heading1"/>
      </w:pPr>
      <w:r>
        <w:t>8  完整尝试记录、引用与复现</w:t>
      </w:r>
    </w:p>
    <w:p>
      <w:pPr>
        <w:pStyle w:val="Heading2"/>
      </w:pPr>
      <w:r>
        <w:t>本轮全部诊断；不隐藏未成功的改动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OPEN事后诊断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三环境mean rank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静态U；同一profile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1.2917 / 1.6667 / 1.4167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隔离一部分时间分辨率因素</w:t>
            </w:r>
          </w:p>
        </w:tc>
      </w:tr>
      <w:tr>
        <w:trPr>
          <w:cantSplit/>
        </w:trPr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用u替μ；原M profile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1.5000 / 1.7500 / 1.5000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并没有解决M</w:t>
            </w:r>
          </w:p>
        </w:tc>
      </w:tr>
      <w:tr>
        <w:trPr>
          <w:cantSplit/>
        </w:trPr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M的mark项单独排名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1.5833 / 1.5417 / 2.2083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不是推荐方法</w:t>
            </w:r>
          </w:p>
        </w:tc>
      </w:tr>
      <w:tr>
        <w:trPr>
          <w:cantSplit/>
        </w:trPr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b=1，仍用原μ与B0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1.3333 / 1.7083 / 1.5000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不能仅修profile</w:t>
            </w:r>
          </w:p>
        </w:tc>
      </w:tr>
      <w:tr>
        <w:trPr>
          <w:cantSplit/>
        </w:trPr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2×2 readout × 同一B2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见第3节；四格全部报告</w:t>
            </w:r>
          </w:p>
        </w:tc>
        <w:tc>
          <w:tcPr>
            <w:tcW w:type="dxa" w:w="3251"/>
            <w:vAlign w:val="center"/>
          </w:tcPr>
          <w:p>
            <w:pPr>
              <w:spacing w:after="80" w:before="60" w:line="264" w:lineRule="auto"/>
            </w:pPr>
            <w:r>
              <w:rPr>
                <w:b w:val="0"/>
                <w:sz w:val="18"/>
              </w:rPr>
              <w:t>读出blur是本批具体瓶颈</w:t>
            </w:r>
          </w:p>
        </w:tc>
      </w:tr>
    </w:tbl>
    <w:p>
      <w:r>
        <w:rPr>
          <w:b w:val="0"/>
        </w:rPr>
        <w:t>无超参数搜索。以上诊断均在原结果已经OPEN以后提出；同一数据被反复分析所带来的选择效应必须由新的独立确认处理。本报告不制造p值，不把目标条目当独立样本，也没有删极端样本。</w:t>
      </w:r>
    </w:p>
    <w:p>
      <w:pPr>
        <w:pStyle w:val="Heading2"/>
      </w:pPr>
      <w:r>
        <w:t>附件证据</w:t>
      </w:r>
    </w:p>
    <w:p>
      <w:r>
        <w:rPr>
          <w:b w:val="0"/>
        </w:rPr>
        <w:t>[A1] evaluation/D0_RESULT.json、ENVIRONMENT_SUMMARY_ALL.csv、TARGET_DETAIL_ALL.csv。</w:t>
        <w:br/>
        <w:t>[A2] execution/evaluate_complete_vm.py；U_PRE_TARGET_AMENDMENT.md。</w:t>
        <w:br/>
        <w:t>[A3] execution/marked_forward.cpp；IMPLEMENTATION_CONTRACT.md；Simulations_marked.cpp；E1_HOUSE_PROBE_CONTRACTS.tsv。编号副本在evidence/。</w:t>
      </w:r>
    </w:p>
    <w:p>
      <w:pPr>
        <w:pStyle w:val="Heading2"/>
      </w:pPr>
      <w:r>
        <w:t>原始文献</w:t>
      </w:r>
    </w:p>
    <w:p>
      <w:r>
        <w:rPr>
          <w:b w:val="0"/>
        </w:rPr>
        <w:t>[R1] Ojeda, Monroy &amp; Gonzalez-Jimenez. Robotic Gas Source Localization with Probabilistic Mapping and Online Dispersion Simulation. arXiv:2304.08879v2；第III-A、IV-B节。</w:t>
        <w:br/>
        <w:t>[R2] Kohli et al. Ring deconvolution microscopy: exploiting symmetry for efficient spatially varying aberration correction. Nature Methods 22, 1311–1320 (2025). DOI:10.1038/s41592-025-02684-5。论文标注代码apsk14/rdmpy；本轮未运行。</w:t>
        <w:br/>
        <w:t>[R3] Vašinka et al. From stars to molecules: AI guided device-agnostic super-resolution imaging. Nature Communications 17, 8705 (2026). DOI:10.1038/s41467-026-75584-7。本轮仅核实论文与code-availability声明。</w:t>
        <w:br/>
        <w:t>[R4] Pomareda et al. Chemical Source Localization Fusing Concentration Information in the Presence of Chemical Background Noise. Sensors 17, 904 (2017). DOI:10.3390/s17040904。</w:t>
        <w:br/>
        <w:t>[R5] Jin et al. Calibration-Free Gas Source Localization with Mobile Robots: Source Term Estimation Based on Concentration Measurement Ranking. arXiv:2605.13208；原作者标注ICRA 2026。</w:t>
      </w:r>
    </w:p>
    <w:p>
      <w:pPr>
        <w:pStyle w:val="Heading2"/>
      </w:pPr>
      <w:r>
        <w:t>如何复现</w:t>
      </w:r>
    </w:p>
    <w:p>
      <w:r>
        <w:rPr>
          <w:b w:val="0"/>
        </w:rPr>
        <w:t>Python 3.10+，numpy、pandas；不需要ROS、GADEN或GPU。</w:t>
        <w:br/>
        <w:t>python code/reproduce.py --review-zip 原始review.zip --out replay_out</w:t>
        <w:br/>
        <w:t>python code/test_readout.py</w:t>
        <w:br/>
        <w:t>原ZIP必须匹配SHA256；脚本临时解压并核验全部清单。结果已重新完整运行，12个主要CSV逐字节一致；8项确定性读出检查通过。原约26.7MB ZIP不重复装入本包。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OPEN 事后开发分析 · 原冻结判决不变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UAV 气源定位  |  ME-D0 后的幅度读出改进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83B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83B5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93" w:lineRule="auto"/>
    </w:pPr>
    <w:rPr>
      <w:rFonts w:ascii="Calibri" w:hAnsi="Calibri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ME-D0 幅度读出改进：证据、消融与实现</dc:title>
  <dc:subject>OPEN开发结果，不改原冻结判决</dc:subject>
  <dc:creator>Independent research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