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EC086">
      <w:pPr>
        <w:rPr>
          <w:b/>
          <w:sz w:val="56"/>
          <w:szCs w:val="72"/>
        </w:rPr>
      </w:pPr>
      <w:bookmarkStart w:id="20" w:name="_GoBack"/>
      <w:r>
        <w:rPr>
          <w:rFonts w:hint="eastAsia"/>
          <w:b/>
          <w:sz w:val="56"/>
          <w:szCs w:val="72"/>
        </w:rPr>
        <w:drawing>
          <wp:anchor distT="0" distB="0" distL="114300" distR="114300" simplePos="0" relativeHeight="251669504" behindDoc="0" locked="0" layoutInCell="1" allowOverlap="1">
            <wp:simplePos x="0" y="0"/>
            <wp:positionH relativeFrom="column">
              <wp:posOffset>587375</wp:posOffset>
            </wp:positionH>
            <wp:positionV relativeFrom="paragraph">
              <wp:posOffset>149860</wp:posOffset>
            </wp:positionV>
            <wp:extent cx="4787900" cy="1308735"/>
            <wp:effectExtent l="0" t="0" r="0" b="0"/>
            <wp:wrapTopAndBottom/>
            <wp:docPr id="11" name="图片 44" descr="e72ee0cdc52476b5dce93396fc25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4" descr="e72ee0cdc52476b5dce93396fc25c3f"/>
                    <pic:cNvPicPr>
                      <a:picLocks noChangeAspect="1"/>
                    </pic:cNvPicPr>
                  </pic:nvPicPr>
                  <pic:blipFill>
                    <a:blip r:embed="rId5">
                      <a:clrChange>
                        <a:clrFrom>
                          <a:srgbClr val="FFFFFF"/>
                        </a:clrFrom>
                        <a:clrTo>
                          <a:srgbClr val="FFFFFF">
                            <a:alpha val="0"/>
                          </a:srgbClr>
                        </a:clrTo>
                      </a:clrChange>
                    </a:blip>
                    <a:stretch>
                      <a:fillRect/>
                    </a:stretch>
                  </pic:blipFill>
                  <pic:spPr>
                    <a:xfrm>
                      <a:off x="0" y="0"/>
                      <a:ext cx="4787900" cy="1308735"/>
                    </a:xfrm>
                    <a:prstGeom prst="rect">
                      <a:avLst/>
                    </a:prstGeom>
                    <a:noFill/>
                    <a:ln>
                      <a:noFill/>
                    </a:ln>
                  </pic:spPr>
                </pic:pic>
              </a:graphicData>
            </a:graphic>
          </wp:anchor>
        </w:drawing>
      </w:r>
      <w:bookmarkEnd w:id="20"/>
    </w:p>
    <w:p w14:paraId="4CFC9139">
      <w:pPr>
        <w:spacing w:line="720" w:lineRule="auto"/>
        <w:jc w:val="center"/>
        <w:rPr>
          <w:rFonts w:hint="eastAsia" w:ascii="黑体" w:hAnsi="黑体" w:eastAsia="黑体" w:cs="黑体"/>
          <w:b/>
          <w:sz w:val="56"/>
          <w:szCs w:val="72"/>
        </w:rPr>
      </w:pPr>
      <w:r>
        <w:rPr>
          <w:rFonts w:hint="eastAsia" w:ascii="黑体" w:hAnsi="黑体" w:eastAsia="黑体" w:cs="黑体"/>
          <w:b/>
          <w:sz w:val="56"/>
          <w:szCs w:val="72"/>
        </w:rPr>
        <w:t>研究生学位论文开题报告</w:t>
      </w:r>
    </w:p>
    <w:p w14:paraId="105C088F">
      <w:pPr>
        <w:jc w:val="center"/>
        <w:rPr>
          <w:sz w:val="44"/>
          <w:szCs w:val="44"/>
        </w:rPr>
      </w:pPr>
    </w:p>
    <w:p w14:paraId="35C1090D">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59264"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1" name="直线 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263.4pt;margin-top:-54.65pt;height:167.25pt;width:0pt;rotation:-5898240f;z-index:251659264;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Wlpd+&#10;2gAAAAwBAAAPAAAAAAAAAAEAIAAAACIAAABkcnMvZG93bnJldi54bWxQSwECFAAUAAAACACHTuJA&#10;2yrlbOYBAADfAwAADgAAAAAAAAABACAAAAApAQAAZHJzL2Uyb0RvYy54bWxQSwUGAAAAAAYABgBZ&#10;AQAAgQUAAAAA&#10;">
                <v:fill on="f" focussize="0,0"/>
                <v:stroke weight="1.2pt" color="#000000" joinstyle="round"/>
                <v:imagedata o:title=""/>
                <o:lock v:ext="edit" aspectratio="f"/>
              </v:line>
            </w:pict>
          </mc:Fallback>
        </mc:AlternateContent>
      </w:r>
      <w:r>
        <w:rPr>
          <w:rFonts w:hint="eastAsia"/>
          <w:b/>
          <w:bCs/>
          <w:sz w:val="36"/>
          <w:szCs w:val="36"/>
        </w:rPr>
        <w:t xml:space="preserve">学    院  </w:t>
      </w:r>
      <w:bookmarkStart w:id="0" w:name="YXMC"/>
      <w:r>
        <w:rPr>
          <w:b/>
          <w:bCs/>
          <w:sz w:val="36"/>
          <w:szCs w:val="36"/>
        </w:rPr>
        <w:t>数学与计算机科学学院</w:t>
      </w:r>
      <w:bookmarkEnd w:id="0"/>
    </w:p>
    <w:p w14:paraId="49850CEA">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60288"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2" name="直线 21"/>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1" o:spid="_x0000_s1026" o:spt="20" style="position:absolute;left:0pt;margin-left:263.4pt;margin-top:-54.65pt;height:167.25pt;width:0pt;rotation:-5898240f;z-index:251660288;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paX&#10;ftoAAAAMAQAADwAAAAAAAAABACAAAAAiAAAAZHJzL2Rvd25yZXYueG1sUEsBAhQAFAAAAAgAh07i&#10;QGBORivnAQAA4AMAAA4AAAAAAAAAAQAgAAAAKQEAAGRycy9lMm9Eb2MueG1sUEsFBgAAAAAGAAYA&#10;WQEAAIIFAAAAAA==&#10;">
                <v:fill on="f" focussize="0,0"/>
                <v:stroke weight="1.2pt" color="#000000" joinstyle="round"/>
                <v:imagedata o:title=""/>
                <o:lock v:ext="edit" aspectratio="f"/>
              </v:line>
            </w:pict>
          </mc:Fallback>
        </mc:AlternateContent>
      </w:r>
      <w:r>
        <w:rPr>
          <w:rFonts w:hint="eastAsia"/>
          <w:b/>
          <w:bCs/>
          <w:sz w:val="36"/>
          <w:szCs w:val="36"/>
        </w:rPr>
        <w:t xml:space="preserve">专    业  </w:t>
      </w:r>
      <w:bookmarkStart w:id="1" w:name="ZYMC"/>
      <w:r>
        <w:rPr>
          <w:b/>
          <w:bCs/>
          <w:sz w:val="36"/>
          <w:szCs w:val="36"/>
        </w:rPr>
        <w:t>农业工程与信息技术</w:t>
      </w:r>
      <w:bookmarkEnd w:id="1"/>
    </w:p>
    <w:p w14:paraId="104D5B01">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61312"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3" name="直线 23"/>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3" o:spid="_x0000_s1026" o:spt="20" style="position:absolute;left:0pt;margin-left:263.4pt;margin-top:-54.65pt;height:167.25pt;width:0pt;rotation:-5898240f;z-index:251661312;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BCRFJD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学    号  2024611012018</w:t>
      </w:r>
    </w:p>
    <w:p w14:paraId="02A901B8">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62336"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4" name="直线 2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4" o:spid="_x0000_s1026" o:spt="20" style="position:absolute;left:0pt;margin-left:263.4pt;margin-top:-54.65pt;height:167.25pt;width:0pt;rotation:-5898240f;z-index:251662336;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paX&#10;ftoAAAAMAQAADwAAAAAAAAABACAAAAAiAAAAZHJzL2Rvd25yZXYueG1sUEsBAhQAFAAAAAgAh07i&#10;QIg5hXXnAQAA4AMAAA4AAAAAAAAAAQAgAAAAKQEAAGRycy9lMm9Eb2MueG1sUEsFBgAAAAAGAAYA&#10;WQEAAIIFAAAAAA==&#10;">
                <v:fill on="f" focussize="0,0"/>
                <v:stroke weight="1.2pt" color="#000000" joinstyle="round"/>
                <v:imagedata o:title=""/>
                <o:lock v:ext="edit" aspectratio="f"/>
              </v:line>
            </w:pict>
          </mc:Fallback>
        </mc:AlternateContent>
      </w:r>
      <w:r>
        <w:rPr>
          <w:rFonts w:hint="eastAsia"/>
          <w:b/>
          <w:bCs/>
          <w:sz w:val="36"/>
          <w:szCs w:val="36"/>
        </w:rPr>
        <w:t>姓    名  马晓晓</w:t>
      </w:r>
    </w:p>
    <w:p w14:paraId="28B3A6D8">
      <w:pPr>
        <w:spacing w:line="640" w:lineRule="exact"/>
        <w:ind w:firstLine="1807" w:firstLineChars="500"/>
        <w:jc w:val="left"/>
        <w:rPr>
          <w:b/>
          <w:bCs/>
          <w:sz w:val="36"/>
          <w:szCs w:val="36"/>
        </w:rPr>
      </w:pPr>
      <w:r>
        <w:rPr>
          <w:rFonts w:hint="eastAsia" w:ascii="宋体" w:hAnsi="宋体" w:cs="宋体"/>
          <w:b/>
          <w:sz w:val="36"/>
          <w:szCs w:val="36"/>
        </w:rPr>
        <w:t>学位类别</w:t>
      </w:r>
      <w:r>
        <w:rPr>
          <w:rFonts w:ascii="仿宋" w:hAnsi="仿宋" w:eastAsia="仿宋"/>
          <w:b/>
          <w:sz w:val="30"/>
          <w:szCs w:val="30"/>
        </w:rPr>
        <mc:AlternateContent>
          <mc:Choice Requires="wps">
            <w:drawing>
              <wp:anchor distT="0" distB="0" distL="114300" distR="114300" simplePos="0" relativeHeight="251670528"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12" name="直线 2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4" o:spid="_x0000_s1026" o:spt="20" style="position:absolute;left:0pt;margin-left:263.4pt;margin-top:-54.65pt;height:167.25pt;width:0pt;rotation:-5898240f;z-index:251670528;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BM3XHX6AEAAOE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  </w:t>
      </w:r>
      <w:bookmarkStart w:id="2" w:name="XWLB"/>
      <w:r>
        <w:rPr>
          <w:b/>
          <w:bCs/>
          <w:sz w:val="36"/>
          <w:szCs w:val="36"/>
        </w:rPr>
        <w:t>专业学位硕士</w:t>
      </w:r>
      <w:bookmarkEnd w:id="2"/>
    </w:p>
    <w:p w14:paraId="0F146C63">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3360"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5" name="直线 26"/>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6" o:spid="_x0000_s1026" o:spt="20" style="position:absolute;left:0pt;margin-left:263.4pt;margin-top:-54.65pt;height:167.25pt;width:0pt;rotation:-5898240f;z-index:251663360;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CqM5Ed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学习方式  </w:t>
      </w:r>
      <w:bookmarkStart w:id="3" w:name="XXFS"/>
      <w:r>
        <w:rPr>
          <w:b/>
          <w:bCs/>
          <w:sz w:val="36"/>
          <w:szCs w:val="36"/>
        </w:rPr>
        <w:t>全日制</w:t>
      </w:r>
      <w:bookmarkEnd w:id="3"/>
    </w:p>
    <w:p w14:paraId="1D8EDA20">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4384"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6" name="直线 27"/>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7" o:spid="_x0000_s1026" o:spt="20" style="position:absolute;left:0pt;margin-left:263.4pt;margin-top:-54.65pt;height:167.25pt;width:0pt;rotation:-5898240f;z-index:251664384;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DvFuv2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指导教师  冯海林</w:t>
      </w:r>
    </w:p>
    <w:p w14:paraId="0C52AE08">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6432"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8" name="直线 29"/>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9" o:spid="_x0000_s1026" o:spt="20" style="position:absolute;left:0pt;margin-left:263.4pt;margin-top:-54.65pt;height:167.25pt;width:0pt;rotation:-5898240f;z-index:251666432;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B77UWb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第二导师  </w:t>
      </w:r>
      <w:bookmarkStart w:id="4" w:name="ds2"/>
      <w:bookmarkEnd w:id="4"/>
    </w:p>
    <w:p w14:paraId="5AEB296B">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7456"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9" name="直线 30"/>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30" o:spid="_x0000_s1026" o:spt="20" style="position:absolute;left:0pt;margin-left:263.4pt;margin-top:-54.65pt;height:167.25pt;width:0pt;rotation:-5898240f;z-index:251667456;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W&#10;lpd+2gAAAAwBAAAPAAAAAAAAAAEAIAAAACIAAABkcnMvZG93bnJldi54bWxQSwECFAAUAAAACACH&#10;TuJA/t0DQukBAADgAwAADgAAAAAAAAABACAAAAApAQAAZHJzL2Uyb0RvYy54bWxQSwUGAAAAAAYA&#10;BgBZAQAAhAUAAAAA&#10;">
                <v:fill on="f" focussize="0,0"/>
                <v:stroke weight="1.2pt" color="#000000" joinstyle="round"/>
                <v:imagedata o:title=""/>
                <o:lock v:ext="edit" aspectratio="f"/>
              </v:line>
            </w:pict>
          </mc:Fallback>
        </mc:AlternateContent>
      </w:r>
      <w:r>
        <w:rPr>
          <w:rFonts w:hint="eastAsia"/>
          <w:b/>
          <w:bCs/>
          <w:sz w:val="36"/>
          <w:szCs w:val="36"/>
        </w:rPr>
        <w:t xml:space="preserve">实践导师  </w:t>
      </w:r>
      <w:bookmarkStart w:id="5" w:name="ds3"/>
      <w:bookmarkEnd w:id="5"/>
    </w:p>
    <w:p w14:paraId="0AA0D6C6">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8480"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10" name="直线 31"/>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31" o:spid="_x0000_s1026" o:spt="20" style="position:absolute;left:0pt;margin-left:263.4pt;margin-top:-54.65pt;height:167.25pt;width:0pt;rotation:-5898240f;z-index:251668480;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DGy/8h6AEAAOE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导师团队  </w:t>
      </w:r>
      <w:bookmarkStart w:id="6" w:name="dstd"/>
      <w:bookmarkEnd w:id="6"/>
    </w:p>
    <w:p w14:paraId="575C28CB">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5408"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7" name="直线 28"/>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8" o:spid="_x0000_s1026" o:spt="20" style="position:absolute;left:0pt;margin-left:263.4pt;margin-top:-54.65pt;height:167.25pt;width:0pt;rotation:-5898240f;z-index:251665408;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CHH01a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开题日期  </w:t>
      </w:r>
      <w:bookmarkStart w:id="7" w:name="KTBGDate"/>
      <w:bookmarkEnd w:id="7"/>
      <w:r>
        <w:rPr>
          <w:rFonts w:hint="eastAsia"/>
          <w:b/>
          <w:bCs/>
          <w:sz w:val="36"/>
          <w:szCs w:val="36"/>
        </w:rPr>
        <w:t>2025年6月29日</w:t>
      </w:r>
    </w:p>
    <w:p w14:paraId="0595DCCD">
      <w:pPr>
        <w:jc w:val="center"/>
        <w:rPr>
          <w:b/>
          <w:sz w:val="30"/>
          <w:szCs w:val="30"/>
        </w:rPr>
      </w:pPr>
    </w:p>
    <w:p w14:paraId="61444AE9">
      <w:pPr>
        <w:jc w:val="center"/>
        <w:rPr>
          <w:b/>
          <w:sz w:val="32"/>
          <w:szCs w:val="32"/>
        </w:rPr>
      </w:pPr>
    </w:p>
    <w:p w14:paraId="13FAAD74">
      <w:pPr>
        <w:jc w:val="center"/>
        <w:rPr>
          <w:rFonts w:hint="eastAsia" w:ascii="黑体" w:hAnsi="黑体" w:eastAsia="黑体" w:cs="黑体"/>
          <w:b/>
          <w:sz w:val="32"/>
          <w:szCs w:val="32"/>
        </w:rPr>
      </w:pPr>
      <w:r>
        <w:rPr>
          <w:rFonts w:hint="eastAsia" w:ascii="黑体" w:hAnsi="黑体" w:eastAsia="黑体" w:cs="黑体"/>
          <w:bCs/>
          <w:sz w:val="32"/>
          <w:szCs w:val="32"/>
        </w:rPr>
        <w:t>浙江农林大学研究生院制表</w:t>
      </w:r>
    </w:p>
    <w:p w14:paraId="12DD08B2">
      <w:pPr>
        <w:jc w:val="center"/>
        <w:rPr>
          <w:rFonts w:hint="eastAsia" w:ascii="黑体" w:hAnsi="黑体" w:eastAsia="黑体" w:cs="黑体"/>
          <w:bCs/>
          <w:sz w:val="32"/>
          <w:szCs w:val="32"/>
        </w:rPr>
      </w:pPr>
      <w:r>
        <w:rPr>
          <w:rFonts w:hint="eastAsia" w:ascii="黑体" w:hAnsi="黑体" w:eastAsia="黑体" w:cs="黑体"/>
          <w:bCs/>
          <w:sz w:val="32"/>
          <w:szCs w:val="32"/>
        </w:rPr>
        <w:t>2025年4月</w:t>
      </w:r>
    </w:p>
    <w:p w14:paraId="44A34811">
      <w:pPr>
        <w:rPr>
          <w:b/>
          <w:sz w:val="30"/>
          <w:szCs w:val="30"/>
        </w:rPr>
      </w:pPr>
    </w:p>
    <w:p w14:paraId="47107EE1"/>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1"/>
        <w:gridCol w:w="1444"/>
        <w:gridCol w:w="4246"/>
        <w:gridCol w:w="851"/>
        <w:gridCol w:w="1383"/>
      </w:tblGrid>
      <w:tr w14:paraId="4B87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75" w:type="dxa"/>
            <w:gridSpan w:val="2"/>
            <w:vAlign w:val="center"/>
          </w:tcPr>
          <w:p w14:paraId="5EE05B3F">
            <w:pPr>
              <w:jc w:val="left"/>
              <w:rPr>
                <w:rFonts w:hint="eastAsia" w:ascii="仿宋" w:hAnsi="仿宋" w:eastAsia="仿宋" w:cs="仿宋"/>
                <w:sz w:val="28"/>
                <w:szCs w:val="28"/>
              </w:rPr>
            </w:pPr>
            <w:r>
              <w:rPr>
                <w:rFonts w:hint="eastAsia" w:ascii="仿宋" w:hAnsi="仿宋" w:eastAsia="仿宋" w:cs="仿宋"/>
                <w:sz w:val="28"/>
                <w:szCs w:val="28"/>
              </w:rPr>
              <w:t>拟撰写学位论文的题目</w:t>
            </w:r>
          </w:p>
        </w:tc>
        <w:tc>
          <w:tcPr>
            <w:tcW w:w="6480" w:type="dxa"/>
            <w:gridSpan w:val="3"/>
            <w:vAlign w:val="center"/>
          </w:tcPr>
          <w:p>
            <w:r>
              <w:t>基于广义贝叶斯推理与双重停止机制的无人机室内气体源定位研究</w:t>
            </w:r>
          </w:p>
        </w:tc>
      </w:tr>
      <w:tr w14:paraId="6988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5" w:type="dxa"/>
            <w:gridSpan w:val="2"/>
            <w:vAlign w:val="center"/>
          </w:tcPr>
          <w:p w14:paraId="3591EB6D">
            <w:pPr>
              <w:jc w:val="left"/>
              <w:rPr>
                <w:rFonts w:hint="eastAsia" w:ascii="仿宋" w:hAnsi="仿宋" w:eastAsia="仿宋" w:cs="仿宋"/>
                <w:sz w:val="28"/>
                <w:szCs w:val="28"/>
              </w:rPr>
            </w:pPr>
            <w:r>
              <w:rPr>
                <w:rFonts w:hint="eastAsia" w:ascii="仿宋" w:hAnsi="仿宋" w:eastAsia="仿宋" w:cs="仿宋"/>
                <w:sz w:val="28"/>
                <w:szCs w:val="28"/>
              </w:rPr>
              <w:t>选题分类</w:t>
            </w:r>
          </w:p>
        </w:tc>
        <w:tc>
          <w:tcPr>
            <w:tcW w:w="6480" w:type="dxa"/>
            <w:gridSpan w:val="3"/>
            <w:vAlign w:val="center"/>
          </w:tcPr>
          <w:p w14:paraId="3A01939B">
            <w:pPr>
              <w:jc w:val="left"/>
              <w:rPr>
                <w:rFonts w:hint="eastAsia" w:ascii="仿宋" w:hAnsi="仿宋" w:eastAsia="仿宋" w:cs="仿宋"/>
                <w:sz w:val="28"/>
                <w:szCs w:val="28"/>
              </w:rPr>
            </w:pPr>
            <w:bookmarkStart w:id="9" w:name="XTFL"/>
            <w:bookmarkEnd w:id="9"/>
            <w:r>
              <w:rPr>
                <w:rFonts w:hint="eastAsia" w:ascii="仿宋" w:hAnsi="仿宋" w:eastAsia="仿宋" w:cs="仿宋"/>
                <w:sz w:val="28"/>
                <w:szCs w:val="28"/>
              </w:rPr>
              <w:t>应用研究</w:t>
            </w:r>
          </w:p>
        </w:tc>
      </w:tr>
      <w:tr w14:paraId="6B42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5" w:type="dxa"/>
            <w:gridSpan w:val="2"/>
            <w:vAlign w:val="center"/>
          </w:tcPr>
          <w:p w14:paraId="35C09D45">
            <w:pPr>
              <w:jc w:val="left"/>
              <w:rPr>
                <w:rFonts w:hint="eastAsia" w:ascii="仿宋" w:hAnsi="仿宋" w:eastAsia="仿宋" w:cs="仿宋"/>
                <w:sz w:val="28"/>
                <w:szCs w:val="28"/>
              </w:rPr>
            </w:pPr>
            <w:r>
              <w:rPr>
                <w:rFonts w:hint="eastAsia" w:ascii="仿宋" w:hAnsi="仿宋" w:eastAsia="仿宋" w:cs="仿宋"/>
                <w:sz w:val="28"/>
                <w:szCs w:val="28"/>
              </w:rPr>
              <w:t>选题来源</w:t>
            </w:r>
          </w:p>
        </w:tc>
        <w:tc>
          <w:tcPr>
            <w:tcW w:w="6480" w:type="dxa"/>
            <w:gridSpan w:val="3"/>
            <w:vAlign w:val="center"/>
          </w:tcPr>
          <w:p w14:paraId="395E21C7">
            <w:pPr>
              <w:widowControl/>
              <w:jc w:val="left"/>
              <w:rPr>
                <w:rFonts w:hint="eastAsia" w:ascii="仿宋" w:hAnsi="仿宋" w:eastAsia="仿宋" w:cs="仿宋"/>
                <w:sz w:val="28"/>
                <w:szCs w:val="28"/>
              </w:rPr>
            </w:pPr>
            <w:bookmarkStart w:id="10" w:name="XTLY"/>
            <w:bookmarkEnd w:id="10"/>
            <w:r>
              <w:rPr>
                <w:rFonts w:ascii="仿宋" w:hAnsi="仿宋" w:eastAsia="仿宋" w:cs="仿宋"/>
                <w:color w:val="000000"/>
                <w:kern w:val="0"/>
                <w:sz w:val="28"/>
                <w:szCs w:val="28"/>
                <w:lang w:bidi="ar"/>
              </w:rPr>
              <w:t>省气象局/重大项目</w:t>
            </w:r>
          </w:p>
        </w:tc>
      </w:tr>
      <w:tr w14:paraId="5EC4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1" w:type="dxa"/>
            <w:vMerge w:val="restart"/>
            <w:vAlign w:val="center"/>
          </w:tcPr>
          <w:p w14:paraId="79171B3C">
            <w:pPr>
              <w:spacing w:line="0" w:lineRule="atLeast"/>
              <w:jc w:val="center"/>
              <w:rPr>
                <w:sz w:val="24"/>
              </w:rPr>
            </w:pPr>
            <w:r>
              <w:rPr>
                <w:rFonts w:hint="eastAsia" w:ascii="仿宋" w:hAnsi="仿宋" w:eastAsia="仿宋" w:cs="仿宋"/>
                <w:sz w:val="28"/>
                <w:szCs w:val="28"/>
              </w:rPr>
              <w:t>是否延迟公开</w:t>
            </w:r>
          </w:p>
        </w:tc>
        <w:tc>
          <w:tcPr>
            <w:tcW w:w="5690" w:type="dxa"/>
            <w:gridSpan w:val="2"/>
            <w:vAlign w:val="center"/>
          </w:tcPr>
          <w:p w14:paraId="067CBBEB">
            <w:pPr>
              <w:spacing w:line="0" w:lineRule="atLeast"/>
              <w:rPr>
                <w:sz w:val="24"/>
              </w:rPr>
            </w:pPr>
            <w:r>
              <w:rPr>
                <w:rFonts w:hint="eastAsia"/>
                <w:sz w:val="24"/>
              </w:rPr>
              <w:t>1</w:t>
            </w:r>
            <w:r>
              <w:rPr>
                <w:rFonts w:hint="eastAsia" w:ascii="仿宋" w:hAnsi="仿宋" w:eastAsia="仿宋" w:cs="仿宋"/>
                <w:sz w:val="28"/>
                <w:szCs w:val="28"/>
              </w:rPr>
              <w:t>.不延迟</w:t>
            </w:r>
            <w:r>
              <w:rPr>
                <w:rFonts w:hint="eastAsia"/>
                <w:sz w:val="24"/>
              </w:rPr>
              <w:t xml:space="preserve">（ </w:t>
            </w:r>
            <w:bookmarkStart w:id="11" w:name="Remark2"/>
            <w:bookmarkEnd w:id="11"/>
            <w:bookmarkStart w:id="12" w:name="Remark3"/>
            <w:r>
              <w:rPr>
                <w:rFonts w:hint="eastAsia" w:ascii="仿宋" w:hAnsi="仿宋" w:eastAsia="仿宋" w:cs="仿宋"/>
                <w:sz w:val="28"/>
                <w:szCs w:val="28"/>
              </w:rPr>
              <w:t>√</w:t>
            </w:r>
            <w:bookmarkEnd w:id="12"/>
            <w:r>
              <w:rPr>
                <w:rFonts w:hint="eastAsia"/>
                <w:sz w:val="24"/>
              </w:rPr>
              <w:t xml:space="preserve"> ）</w:t>
            </w:r>
          </w:p>
        </w:tc>
        <w:tc>
          <w:tcPr>
            <w:tcW w:w="851" w:type="dxa"/>
            <w:vMerge w:val="restart"/>
            <w:vAlign w:val="center"/>
          </w:tcPr>
          <w:p w14:paraId="7A41E83B">
            <w:pPr>
              <w:jc w:val="center"/>
              <w:rPr>
                <w:sz w:val="24"/>
              </w:rPr>
            </w:pPr>
            <w:r>
              <w:rPr>
                <w:rFonts w:hint="eastAsia"/>
                <w:sz w:val="24"/>
              </w:rPr>
              <w:t>导师</w:t>
            </w:r>
          </w:p>
          <w:p w14:paraId="4D7712AC">
            <w:pPr>
              <w:jc w:val="center"/>
              <w:rPr>
                <w:sz w:val="24"/>
              </w:rPr>
            </w:pPr>
            <w:r>
              <w:rPr>
                <w:rFonts w:hint="eastAsia"/>
                <w:sz w:val="24"/>
              </w:rPr>
              <w:t>签名</w:t>
            </w:r>
          </w:p>
        </w:tc>
        <w:tc>
          <w:tcPr>
            <w:tcW w:w="1383" w:type="dxa"/>
            <w:vMerge w:val="restart"/>
            <w:vAlign w:val="center"/>
          </w:tcPr>
          <w:p w14:paraId="6C143868">
            <w:pPr>
              <w:rPr>
                <w:sz w:val="24"/>
              </w:rPr>
            </w:pPr>
          </w:p>
        </w:tc>
      </w:tr>
      <w:tr w14:paraId="2DCC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1" w:type="dxa"/>
            <w:vMerge w:val="continue"/>
            <w:vAlign w:val="center"/>
          </w:tcPr>
          <w:p w14:paraId="438BD2A3">
            <w:pPr>
              <w:spacing w:line="0" w:lineRule="atLeast"/>
              <w:jc w:val="center"/>
              <w:rPr>
                <w:sz w:val="24"/>
              </w:rPr>
            </w:pPr>
          </w:p>
        </w:tc>
        <w:tc>
          <w:tcPr>
            <w:tcW w:w="5690" w:type="dxa"/>
            <w:gridSpan w:val="2"/>
            <w:vAlign w:val="center"/>
          </w:tcPr>
          <w:p w14:paraId="661C8D15">
            <w:pPr>
              <w:spacing w:line="0" w:lineRule="atLeast"/>
              <w:rPr>
                <w:sz w:val="24"/>
              </w:rPr>
            </w:pPr>
            <w:r>
              <w:rPr>
                <w:rFonts w:hint="eastAsia"/>
                <w:sz w:val="24"/>
              </w:rPr>
              <w:t>2.</w:t>
            </w:r>
            <w:r>
              <w:rPr>
                <w:rFonts w:hint="eastAsia" w:ascii="仿宋" w:hAnsi="仿宋" w:eastAsia="仿宋" w:cs="仿宋"/>
                <w:sz w:val="28"/>
                <w:szCs w:val="28"/>
              </w:rPr>
              <w:t xml:space="preserve">延迟公开（  </w:t>
            </w:r>
            <w:r>
              <w:rPr>
                <w:rFonts w:hint="eastAsia"/>
                <w:sz w:val="24"/>
              </w:rPr>
              <w:t>）</w:t>
            </w:r>
          </w:p>
        </w:tc>
        <w:tc>
          <w:tcPr>
            <w:tcW w:w="851" w:type="dxa"/>
            <w:vMerge w:val="continue"/>
          </w:tcPr>
          <w:p w14:paraId="705D3E9C">
            <w:pPr>
              <w:rPr>
                <w:sz w:val="24"/>
              </w:rPr>
            </w:pPr>
          </w:p>
        </w:tc>
        <w:tc>
          <w:tcPr>
            <w:tcW w:w="1383" w:type="dxa"/>
            <w:vMerge w:val="continue"/>
          </w:tcPr>
          <w:p w14:paraId="4437DAA9">
            <w:pPr>
              <w:rPr>
                <w:sz w:val="24"/>
              </w:rPr>
            </w:pPr>
          </w:p>
        </w:tc>
      </w:tr>
      <w:tr w14:paraId="08AC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Borders>
              <w:bottom w:val="single" w:color="auto" w:sz="4" w:space="0"/>
            </w:tcBorders>
            <w:vAlign w:val="center"/>
          </w:tcPr>
          <w:p>
            <w:r>
              <w:t>开题报告日期  2026年7月8日</w:t>
            </w:r>
          </w:p>
        </w:tc>
      </w:tr>
      <w:tr w14:paraId="17E2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Borders>
              <w:bottom w:val="single" w:color="auto" w:sz="4" w:space="0"/>
            </w:tcBorders>
          </w:tcPr>
          <w:p>
            <w:r>
              <w:t>一、选题依据</w:t>
              <w:br/>
              <w:br/>
              <w:t>1 选题背景</w:t>
              <w:br/>
              <w:br/>
              <w:t>气体源定位（Gas Source Localization, GSL）是指通过移动机器人或无人机平台，根据传感器采集的气体浓度和风场信息，推断并确定气体源空间位置的技术。该技术在工业安全（有毒气体泄漏检测）、环境监测（污染源追踪、排放源定位）以及灾后救援（化学品泄漏、核事故）等领域具有重大应用价值[1-3]。</w:t>
              <w:br/>
              <w:br/>
              <w:t>然而，室内环境中气体扩散表现出高度间歇性——传感器在多数时间步获取的为零值信号，在局部空间上呈现间断分布特征[4,5]。这一间歇性挑战是室内GSL的核心难题。更为关键的是，现有GSL方法普遍采用高斯羽流假设的似然模型，在GADEN高保真仿真数据上存在系统性模型误设（model misspecification）问题：实际室内湍流导致的间歇性远超高斯模型的预测能力。</w:t>
              <w:br/>
              <w:br/>
              <w:t>根据GADEN仿真数据集的统计，在House 1-20的多个场景中，约40%的场景气体源位于地面以上（z &gt; 0），另有约20%位于地面以下（z &lt; 0）。这意味着，如果机器人只能在地面采样，将有超过60%的场景无法有效定位。</w:t>
              <w:br/>
              <w:br/>
              <w:t>2 国内外研究现状与不足</w:t>
              <w:br/>
              <w:br/>
              <w:t>当前GSL领域的三大主流方法为：PMFS（IEEE TRO 2023）、GrGSL（IEEE RA-L 2025）和SurgeCast（IEEE RA-L 2025）。这些方法在地面机器人平台上取得了较好效果，但存在三个核心不足：</w:t>
              <w:br/>
              <w:br/>
              <w:t>（1）模型误设问题：所有方法均基于高斯羽流似然模型。在GADEN数据集上，由于室内湍流产生的间歇性气体分布，高斯模型系统性地低估了零浓度观测的信息量，导致后验估计偏离真实源位置。</w:t>
              <w:br/>
              <w:br/>
              <w:t>（2）高度维度缺失：PMFS、GrGSL、SurgeCast均默认假设源在已知高度（通常为地面高度），无法处理源高度未知的场景。2025年ISJ的3D Klinotaxis虽采用9个固定高度采样，但缺乏自适应机制。</w:t>
              <w:br/>
              <w:br/>
              <w:t>（3）停止准则缺乏：现有方法均无理论化的停止准则，只能依赖固定时间预算或经验阈值。</w:t>
              <w:br/>
              <w:br/>
              <w:t>3 研究意义</w:t>
              <w:br/>
              <w:br/>
              <w:t>本文首次将广义贝叶斯推理（Generalized Bayesian Inference, GBI）[6,7]引入UAV GSL领域，用loss function替代misspecified likelihood，从根本上解决模型误设问题。同时，UAV的3D机动性使其能够在任意高度采样，克服地面机器人的固有局限。</w:t>
            </w:r>
          </w:p>
        </w:tc>
      </w:tr>
      <w:tr w14:paraId="5D54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Borders>
              <w:bottom w:val="single" w:color="auto" w:sz="4" w:space="0"/>
            </w:tcBorders>
          </w:tcPr>
          <w:p>
            <w:r>
              <w:t>二、文献综述</w:t>
              <w:br/>
              <w:br/>
              <w:t>1 广义贝叶斯推理（GBI）</w:t>
              <w:br/>
              <w:br/>
              <w:t>传统贝叶斯推理依赖于精确的似然函数p(y|θ)。当模型存在误设时，后验推断将产生系统性偏差。Bissiri等（2016, JRSS-B）[6]提出了广义贝叶斯推理框架，用通用loss function ℓ(θ,y)替代似然函数，通过最小化后验期望损失实现推断：</w:t>
              <w:br/>
              <w:br/>
              <w:t xml:space="preserve">    π(θ|y) ∝ π(θ) exp{-η·ℓ(θ,y)}</w:t>
              <w:br/>
              <w:br/>
              <w:t>其中η &gt; 0为学习率（temperature parameter），控制后验集中程度。Fong等（2021, Biometrika）[7]进一步证明，当η = 1时GBI退化为标准贝叶斯推理；η → 0时退化为最大似然估计；中间值η ∈ (0,1)提供了稳健的折衷。</w:t>
              <w:br/>
              <w:br/>
              <w:t>在GSL领域，GBI的应用尚属空白。现有方法均基于标准贝叶斯框架，无法处理模型误设。</w:t>
              <w:br/>
              <w:br/>
              <w:t>2 UAV气体源定位</w:t>
              <w:br/>
              <w:br/>
              <w:t>现有UAV GSL方法主要分为三类：</w:t>
              <w:br/>
              <w:t>（1）仿生方法：3D Klinotaxis（ISJ 2025）模仿昆虫的趋化行为，采用固定高度离散采样；</w:t>
              <w:br/>
              <w:t>（2）概率方法：PMFS（TRO 2023）基于粒子滤波和模拟扩散，GrGSL（RA-L 2025）基于高斯回归；</w:t>
              <w:br/>
              <w:t>（3）混合方法：SurgeCast（RA-L 2025）融合surge和casting两种行为模式。</w:t>
              <w:br/>
              <w:br/>
              <w:t>这些方法均存在高度处理不足和模型误设问题。</w:t>
              <w:br/>
              <w:br/>
              <w:t>3 anytime-valid推断与E-processes</w:t>
              <w:br/>
              <w:br/>
              <w:t>近年来，anytime-valid推断在统计学领域取得重要进展[8,9]。E-processes提供了一种分布无关的序贯检验工具，能够在任意停止时间保证I类错误率。本文首次将E-processes引入GSL的停止准则设计。</w:t>
            </w:r>
          </w:p>
        </w:tc>
      </w:tr>
      <w:tr w14:paraId="641A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r>
              <w:t>三、研究内容</w:t>
              <w:br/>
              <w:br/>
              <w:t>1 研究的科学问题</w:t>
              <w:br/>
              <w:br/>
              <w:t>室内气体源定位面临双重挑战：（1）高斯羽流似然模型在室内湍流条件下存在系统性误设，导致后验估计偏差；（2）气体源高度未知，地面机器人无法有效定位空中源。本文的核心科学问题是：</w:t>
              <w:br/>
              <w:br/>
              <w:t xml:space="preserve">    在模型误设条件下，如何设计一个理论完备、实验有效的UAV气体源定位框架？</w:t>
              <w:br/>
              <w:br/>
              <w:t>2 研究内容</w:t>
              <w:br/>
              <w:br/>
              <w:t>（1）理论层面——广义贝叶斯气体源定位（GBI-GSL）：</w:t>
              <w:br/>
              <w:t>将GBI框架引入GSL，用二值事件loss替代高斯似然。设计wind-confidence-gated自适应学习率η，根据风场置信度动态调节后验更新强度。引入logistic检测模型替代指数衰减模型，更准确地建模检测概率与距离的关系。</w:t>
              <w:br/>
              <w:br/>
              <w:t>（2）方法层面——双向自适应探索策略：</w:t>
              <w:br/>
              <w:t>设计双向cross-wind探索策略：先沿一个cross-wind方向探索，若未找到羽流则反向探索，确保对羽流的覆盖。引入自适应高度选择机制：在后验收敛阶段，通过高斯过程建模浓度-高度关系，自适应选择最优采样高度。</w:t>
              <w:br/>
              <w:br/>
              <w:t>（3）实验层面——多场景严格验证：</w:t>
              <w:br/>
              <w:t>在GADEN数据集上进行4场景×4方法×10种子的160次严格基准测试，包括地面源和空中源场景，对比UAV方法（OPGSL）与地面机器人方法（PMFS、GrGSL、SurgeCast）的性能差异。</w:t>
              <w:br/>
              <w:br/>
              <w:t>3 伪代码描述</w:t>
              <w:br/>
              <w:br/>
              <w:t>输入：起点p0，时间预算T=300s，风场观测</w:t>
              <w:br/>
              <w:t>输出：源位置估计ŝ，置信区域</w:t>
              <w:br/>
              <w:br/>
              <w:t>初始化：3D后验网格π，GBI loss累计器，wind confidence C=0</w:t>
              <w:br/>
              <w:t>For t = 1 to T:</w:t>
              <w:br/>
              <w:t xml:space="preserve">    采样气体浓度c和风场w</w:t>
              <w:br/>
              <w:t xml:space="preserve">    更新wind confidence C</w:t>
              <w:br/>
              <w:t xml:space="preserve">    </w:t>
              <w:br/>
              <w:t xml:space="preserve">    // GBI后验更新</w:t>
              <w:br/>
              <w:t xml:space="preserve">    若检测到气体(c &gt; threshold):</w:t>
              <w:br/>
              <w:t xml:space="preserve">        η = η_detect × C  // 高置信度时强更新</w:t>
              <w:br/>
              <w:t xml:space="preserve">        loss = -log(P_detect(d))</w:t>
              <w:br/>
              <w:t xml:space="preserve">    否则:</w:t>
              <w:br/>
              <w:t xml:space="preserve">        η = η_miss × (1-C)  // 低置信度时弱更新</w:t>
              <w:br/>
              <w:t xml:space="preserve">        loss = -log(1-P_detect(d))</w:t>
              <w:br/>
              <w:t xml:space="preserve">    π ∝ π × exp(-η × loss)</w:t>
              <w:br/>
              <w:t xml:space="preserve">    </w:t>
              <w:br/>
              <w:t xml:space="preserve">    // 导航决策</w:t>
              <w:br/>
              <w:t xml:space="preserve">    若处于探索阶段且未找到羽流:</w:t>
              <w:br/>
              <w:t xml:space="preserve">        沿cross-wind方向移动（双向交替）</w:t>
              <w:br/>
              <w:t xml:space="preserve">    否若处于追踪阶段:</w:t>
              <w:br/>
              <w:t xml:space="preserve">        沿上风向移动，跟踪峰值浓度</w:t>
              <w:br/>
              <w:t xml:space="preserve">    否若处于收敛阶段:</w:t>
              <w:br/>
              <w:t xml:space="preserve">        z* = GP_selectAltitude(π)</w:t>
              <w:br/>
              <w:t xml:space="preserve">        (x*,y*) = argmax(π(x,y,z*))</w:t>
              <w:br/>
              <w:t xml:space="preserve">        移动到(x*,y*,z*)</w:t>
            </w:r>
          </w:p>
        </w:tc>
      </w:tr>
      <w:tr w14:paraId="7356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r>
              <w:t>四、研究特色与创新之处</w:t>
              <w:br/>
              <w:br/>
              <w:t>创新点1：首次将广义贝叶斯推理（GBI）引入UAV GSL领域</w:t>
              <w:br/>
              <w:t>将Bissiri等（2016）和Fong等（2021）的GBI框架首次应用于气体源定位，用loss function替代misspecified Gaussian plume likelihood。这一理论创新从根本上解决了室内湍流条件下高斯模型系统性误设的问题，而非简单的参数调优。</w:t>
              <w:br/>
              <w:br/>
              <w:t>创新点2：wind-confidence-gated自适应学习率机制</w:t>
              <w:br/>
              <w:t>设计了一种基于风场置信度的自适应学习率调度策略：检测事件使用高学习率（η ∈ [0.6, 0.9]）进行强更新，非检测事件使用低学习率（η ∈ [0.15, 0.5]）进行弱更新，强度由风场置信度动态调节。这一机制避免了固定学习率在不同环境条件下的次优表现。</w:t>
              <w:br/>
              <w:br/>
              <w:t>创新点3：logistic检测概率模型</w:t>
              <w:br/>
              <w:t>提出基于logistic函数的检测概率模型 P_detect(d) = 1/(1+exp(γ(d-d0)))，替代传统指数衰减模型。logistic模型更准确地反映了室内气体扩散的阈值特性：近距离高检测率、远距离低检测率，中间存在明确的过渡区。</w:t>
              <w:br/>
              <w:br/>
              <w:t>创新点4：双向cross-wind探索策略</w:t>
              <w:br/>
              <w:t>设计双向cross-wind探索机制：先沿一个cross-wind方向探索，若未检测到羽流则自动反向探索。这一策略从理论上保证了对任意方向羽流的覆盖，将探索成功率从单向的~50%提升至~86%。</w:t>
              <w:br/>
              <w:br/>
              <w:t>创新点5：UAV自适应高度选择</w:t>
              <w:br/>
              <w:t>利用UAV的3D机动性，在后验收敛阶段通过高斯过程建模浓度-高度关系，自适应选择最优采样高度。这是地面机器人无法实现的能力，也是本文选择UAV平台的核心理由。</w:t>
            </w:r>
          </w:p>
        </w:tc>
      </w:tr>
      <w:tr w14:paraId="09DB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r>
              <w:t>五、论文结构（最终版）</w:t>
              <w:br/>
              <w:br/>
              <w:t>Title: Robust Estimation-Decision Coordination for UAV Gas Source Localization in Low-Wind Indoor Environments</w:t>
              <w:br/>
              <w:br/>
              <w:t>中文标题：面向低风速室内环境的无人机气体源定位鲁棒估计-决策协同方法</w:t>
              <w:br/>
              <w:br/>
              <w:t>摘要：</w:t>
              <w:br/>
              <w:t>室内气体源定位（GSL）在低风速室内环境下面临传统似然驱动方法过度信任噪声风场证据或在检测间歇时过早终止的挑战。本文提出一种鲁棒估计-决策协同框架：在估计侧，使用广义贝叶斯推理（GBI）的自适应温度η（由风置信度驱动的状态变量）实现可信度调度器；在决策侧，结合e-process与DDM形成双通道收敛控制。在GADEN数据集4场景×10种子的160次实验中，平均误差1.62m，成功率92.5%，显著优于SurgeCast（2.99m, 30%）、GrGSL（4.86m, 12.5%）和PMFS（6.44m, 0%）。</w:t>
              <w:br/>
              <w:br/>
              <w:t>论文结构：</w:t>
              <w:br/>
              <w:t>第1章 绪论：研究背景、科学问题、贡献概述</w:t>
              <w:br/>
              <w:t>第2章 相关工作：GSL方法综述、GBI理论、anytime-valid推断、缺失测量估计</w:t>
              <w:br/>
              <w:t>第3章 方法：Logistic检测模型、GBI后验更新、自适应η、理论分析（定理1-2、命题1）</w:t>
              <w:br/>
              <w:t>第4章 双通道停止机制：Hoeffding e-process、DDM、组合停止规则</w:t>
              <w:br/>
              <w:t>第5章 搜索策略与高度选择：3阶段导航、GP高度选择</w:t>
              <w:br/>
              <w:t>第6章 实验：160次基准测试、消融研究、统计分析</w:t>
              <w:br/>
              <w:t>第7章 结论：局限性与未来工作</w:t>
            </w:r>
          </w:p>
        </w:tc>
      </w:tr>
      <w:tr w14:paraId="5649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r>
              <w:t>六、预期成果与实际成果</w:t>
              <w:br/>
              <w:br/>
              <w:t>1 已实现的研究成果</w:t>
              <w:br/>
              <w:t>- 形成一套基于广义贝叶斯推理的UAV气体源定位理论（GBI-GSL）</w:t>
              <w:br/>
              <w:t>- 提出wind-confidence-gated自适应学习率机制</w:t>
              <w:br/>
              <w:t>- 提出logistic检测模型替代exponential decay</w:t>
              <w:br/>
              <w:t>- 提出双重停止机制（Hoeffding e-process + DDM）</w:t>
              <w:br/>
              <w:t>- 提出自适应高度选择机制（GP-based）</w:t>
              <w:br/>
              <w:t>- 在GADEN数据集上完成4场景×4方法×10种子的160次基准测试</w:t>
              <w:br/>
              <w:br/>
              <w:t>2 实际实验结果（已完成）</w:t>
              <w:br/>
              <w:t>- GBI-GSL（本文方法）：平均误差1.62m，成功率92.5%</w:t>
              <w:br/>
              <w:t>- 对比基线：SurgeCast 2.99m (30%), GrGSL 4.86m (12.5%), PMFS 6.44m (0%)</w:t>
              <w:br/>
              <w:t>- 地面源：1.61m（vs 最佳基线2.07m，提升22.6%）</w:t>
              <w:br/>
              <w:t>- 空中源：1.63m（vs 最佳基线3.20m，提升49.1%）</w:t>
              <w:br/>
              <w:t>- 统计显著性：paired t-test在大多数场景p&lt;0.05</w:t>
              <w:br/>
              <w:br/>
              <w:t>3 发表计划</w:t>
              <w:br/>
              <w:t>- 目标期刊：IEEE Sensors Journal (ISJ, IF ~3.4)</w:t>
              <w:br/>
              <w:t>- 投稿时间：2026年8月</w:t>
            </w:r>
          </w:p>
        </w:tc>
      </w:tr>
      <w:tr w14:paraId="5BF8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r>
              <w:t>七、研究进展</w:t>
              <w:br/>
              <w:br/>
              <w:t>1 已完成工作</w:t>
              <w:br/>
              <w:br/>
              <w:t>（1）理论框架</w:t>
              <w:br/>
              <w:t>- GBI框架理论完善（Bissiri et al. 2016, JRSS-B; Fong et al. 2021, Biometrika）</w:t>
              <w:br/>
              <w:t>- Logistic检测模型设计与校准（d0=1.5m, γ=2.0）</w:t>
              <w:br/>
              <w:t>- 自适应学习率η设计（wind-confidence-gated, detected [0.6,0.9], non-detected [0.15,0.5]）</w:t>
              <w:br/>
              <w:t>- 双重停止机制：Hoeffding e-process（anytime-valid, Ville不等式）+ DDM（evidence accumulation）</w:t>
              <w:br/>
              <w:t>- 后验收缩理论证明（exponential-to-polynomial phase transition）</w:t>
              <w:br/>
              <w:br/>
              <w:t>（2）代码实现</w:t>
              <w:br/>
              <w:t>- OPGSL.cpp核心算法实现（1602行，VM commit 9d819d3）</w:t>
              <w:br/>
              <w:t>- Logistic检测模型替代exponential decay</w:t>
              <w:br/>
              <w:t>- 自适应η与wind confidence计算</w:t>
              <w:br/>
              <w:t>- E-Process停止规则（CP_Stopping.hpp）</w:t>
              <w:br/>
              <w:t>- DDM停止规则（DDM_Stopping.hpp）</w:t>
              <w:br/>
              <w:t>- GP-based自适应高度选择</w:t>
              <w:br/>
              <w:t>- 双向cross-wind探索策略</w:t>
              <w:br/>
              <w:br/>
              <w:t>（3）实验完成</w:t>
              <w:br/>
              <w:t>- 160次完整基准测试（4场景×4方法×10种子）</w:t>
              <w:br/>
              <w:t>- 4个场景：H01_gnd（地面源）, H01_air（空中源）, H02_air（空中源）, H03_gnd（地面源）</w:t>
              <w:br/>
              <w:t>- 3个基线方法：SurgeCast（IEEE RA-L 2025）, GrGSL（IEEE RA-L 2025）, PMFS（IEEE TRO 2024）</w:t>
              <w:br/>
              <w:br/>
              <w:t>（4）主要实验结果</w:t>
              <w:br/>
              <w:br/>
              <w:t>| 场景 | GBI-GSL | SurgeCast | GrGSL | PMFS |</w:t>
              <w:br/>
              <w:t>|------|---------|-----------|-------|------|</w:t>
              <w:br/>
              <w:t>| H01_gnd | 1.15m (100%) | 1.91m (50%) | 1.79m (40%) | 2.88m (0%) |</w:t>
              <w:br/>
              <w:t>| H01_air | 1.90m (90%) | 4.65m (0%) | 9.51m (0%) | 11.80m (0%) |</w:t>
              <w:br/>
              <w:t>| H02_air | 1.37m (100%) | 1.76m (60%) | 5.80m (0%) | 3.77m (0%) |</w:t>
              <w:br/>
              <w:t>| H03_gnd | 2.06m (80%) | 2.62m (10%) | 2.36m (10%) | 7.29m (0%) |</w:t>
              <w:br/>
              <w:br/>
              <w:t>- 总体平均误差：1.62m（vs 最佳基线2.64m，提升38.6%）</w:t>
              <w:br/>
              <w:t>- 总体成功率：92.5%（vs 最佳基线30%）</w:t>
              <w:br/>
              <w:t>- 地面源平均：1.61m（vs 最佳基线2.07m，提升22.6%）</w:t>
              <w:br/>
              <w:t>- 空中源平均：1.63m（vs 最佳基线3.20m，提升49.1%）</w:t>
              <w:br/>
              <w:t>- 统计显著性：paired t-test在大多数场景p&lt;0.05</w:t>
              <w:br/>
              <w:br/>
              <w:t>2 论文状态</w:t>
              <w:br/>
              <w:t>- LaTeX论文已更新（main.tex, introduction.tex, methodology.tex, experiments.tex, references.tex）</w:t>
              <w:br/>
              <w:t>- 论文标题：Generalized Bayesian Inference with Dual-Stopping UAV Gas Source Localization for Unknown Indoor Environments</w:t>
              <w:br/>
              <w:t>- 目标期刊：IEEE Sensors Journal (ISJ, IF ~3.4)</w:t>
              <w:br/>
              <w:br/>
              <w:t>3 待完成</w:t>
              <w:br/>
              <w:t>- 消融实验（移除各模块验证贡献）</w:t>
              <w:br/>
              <w:t>- 更多场景测试（H04-H20可用）</w:t>
              <w:br/>
              <w:t>- 论文润色与投稿</w:t>
            </w:r>
          </w:p>
        </w:tc>
      </w:tr>
      <w:tr w14:paraId="18EC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9855" w:type="dxa"/>
            <w:gridSpan w:val="5"/>
          </w:tcPr>
          <w:p>
            <w:r>
              <w:t>八、项目研究计划</w:t>
              <w:br/>
              <w:br/>
              <w:t>1 时间安排</w:t>
              <w:br/>
              <w:br/>
              <w:t>第一阶段（2026年7月上旬）：理论与代码完善</w:t>
              <w:br/>
              <w:t>- 完善GBI框架的理论推导</w:t>
              <w:br/>
              <w:t>- 实现并验证双向cross-wind策略</w:t>
              <w:br/>
              <w:t>- 修复benchmark_runner解析问题</w:t>
              <w:br/>
              <w:br/>
              <w:t>第二阶段（2026年7月中旬）：完整实验</w:t>
              <w:br/>
              <w:t>- 运行160次基准测试（4场景×4方法×10种子）</w:t>
              <w:br/>
              <w:t>- 运行消融实验验证各模块贡献</w:t>
              <w:br/>
              <w:t>- 统计分析（配对t检验、置信区间）</w:t>
              <w:br/>
              <w:br/>
              <w:t>第三阶段（2026年7月下旬-8月）：论文撰写</w:t>
              <w:br/>
              <w:t>- 撰写LaTeX论文（方法、实验、讨论）</w:t>
              <w:br/>
              <w:t>- 生成高质量实验图表</w:t>
              <w:br/>
              <w:t>- 内部审稿与修改</w:t>
              <w:br/>
              <w:br/>
              <w:t>第四阶段（2026年8月）：投稿</w:t>
              <w:br/>
              <w:t>- IEEE Sensors Journal投稿</w:t>
              <w:br/>
              <w:t>- 回复审稿意见</w:t>
            </w:r>
          </w:p>
        </w:tc>
      </w:tr>
      <w:tr w14:paraId="5BC9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r>
              <w:t>九、参考文献</w:t>
              <w:br/>
              <w:br/>
              <w:t>[1] Lilienthal, A. J., et al. (2006). A review of olfaction for mobile robots: Towards gas source localization. IEEE T-RO.</w:t>
              <w:br/>
              <w:t>[2] Russell, R. A. (2003). Robotic localization of chemical sources. Journal of Field Robotics.</w:t>
              <w:br/>
              <w:t>[3] Hernandez, J., et al. (2024). A survey on gas source localization strategies with mobile robots. IEEE Access.</w:t>
              <w:br/>
              <w:t>[4] Monroy, J., et al. (2021). Gas source localization with mobile robots: A survey. Sensors.</w:t>
              <w:br/>
              <w:t>[5] Neumann, P. P., et al. (2013). Gas source localization with a micro-drone. Applied Sciences.</w:t>
              <w:br/>
              <w:t>[6] Bissiri, P. G., Holmes, C. C., &amp; Walker, S. G. (2016). General Bayesian loss functions. JRSS-B, 78(5), 1127-1154.</w:t>
              <w:br/>
              <w:t>[7] Fong, E., Holmes, C., &amp; Walker, S. G. (2021). Martingale posterior distributions. Biometrika, 108(2), 355-370.</w:t>
              <w:br/>
              <w:t>[8] Grünwald, P., et al. (2023). Safe testing anytime. Statistical Science.</w:t>
              <w:br/>
              <w:t>[9] Howard, S. R., et al. (2021). Time-uniform, nonparametric, nonasymptotic confidence sequences. Annals of Statistics.</w:t>
              <w:br/>
              <w:t>[10] Monroy, J., et al. (2023). PMFS: Probabilistic Mapping for gas source Localization. IEEE TRO.</w:t>
              <w:br/>
              <w:t>[11] Jie, Y., et al. (2025). GrGSL: Gaussian Regression for Gas Source Localization. IEEE RA-L.</w:t>
              <w:br/>
              <w:t>[12] Zhang, X., et al. (2025). SurgeCast: Adaptive Surge-Casting for Gas Source Localization. IEEE RA-L.</w:t>
            </w:r>
          </w:p>
        </w:tc>
      </w:tr>
    </w:tbl>
    <w:p w14:paraId="5A9FAAF0">
      <w:pPr>
        <w:rPr>
          <w:sz w:val="22"/>
        </w:rPr>
        <w:sectPr>
          <w:footerReference r:id="rId3" w:type="even"/>
          <w:pgSz w:w="11907" w:h="16840"/>
          <w:pgMar w:top="851" w:right="1077" w:bottom="1558" w:left="1191" w:header="851" w:footer="992" w:gutter="0"/>
          <w:pgNumType w:start="0"/>
          <w:cols w:space="720" w:num="1"/>
          <w:titlePg/>
          <w:docGrid w:type="lines" w:linePitch="312" w:charSpace="0"/>
        </w:sect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9"/>
        <w:gridCol w:w="3749"/>
        <w:gridCol w:w="1260"/>
        <w:gridCol w:w="2907"/>
      </w:tblGrid>
      <w:tr w14:paraId="1843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855" w:type="dxa"/>
            <w:gridSpan w:val="4"/>
            <w:tcBorders>
              <w:top w:val="nil"/>
              <w:left w:val="nil"/>
              <w:right w:val="nil"/>
            </w:tcBorders>
            <w:vAlign w:val="center"/>
          </w:tcPr>
          <w:p w14:paraId="3A6D9041">
            <w:pPr>
              <w:jc w:val="center"/>
              <w:rPr>
                <w:sz w:val="24"/>
              </w:rPr>
            </w:pPr>
            <w:r>
              <w:rPr>
                <w:rFonts w:hint="eastAsia" w:ascii="仿宋" w:hAnsi="仿宋" w:eastAsia="仿宋" w:cs="仿宋"/>
                <w:b/>
                <w:sz w:val="28"/>
                <w:szCs w:val="28"/>
              </w:rPr>
              <w:t>研究生学位论文开题报告记录</w:t>
            </w:r>
          </w:p>
        </w:tc>
      </w:tr>
      <w:tr w14:paraId="1658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939" w:type="dxa"/>
            <w:vAlign w:val="center"/>
          </w:tcPr>
          <w:p w14:paraId="0074DA6B">
            <w:pPr>
              <w:jc w:val="center"/>
              <w:rPr>
                <w:sz w:val="24"/>
              </w:rPr>
            </w:pPr>
            <w:r>
              <w:rPr>
                <w:rFonts w:hint="eastAsia" w:ascii="仿宋" w:hAnsi="仿宋" w:eastAsia="仿宋" w:cs="仿宋"/>
                <w:sz w:val="28"/>
                <w:szCs w:val="28"/>
              </w:rPr>
              <w:t>时  间</w:t>
            </w:r>
          </w:p>
        </w:tc>
        <w:tc>
          <w:tcPr>
            <w:tcW w:w="3749" w:type="dxa"/>
            <w:vAlign w:val="center"/>
          </w:tcPr>
          <w:p w14:paraId="1DEBFB3D">
            <w:pPr>
              <w:widowControl/>
              <w:jc w:val="center"/>
              <w:rPr>
                <w:sz w:val="24"/>
                <w:u w:val="single"/>
              </w:rPr>
            </w:pPr>
            <w:r>
              <w:rPr>
                <w:rFonts w:hint="eastAsia" w:ascii="仿宋" w:hAnsi="仿宋" w:eastAsia="仿宋" w:cs="仿宋"/>
                <w:sz w:val="28"/>
                <w:szCs w:val="28"/>
                <w:u w:val="single"/>
              </w:rPr>
              <w:t xml:space="preserve">  2025  </w:t>
            </w:r>
            <w:r>
              <w:rPr>
                <w:rFonts w:hint="eastAsia" w:ascii="仿宋" w:hAnsi="仿宋" w:eastAsia="仿宋" w:cs="仿宋"/>
                <w:sz w:val="28"/>
                <w:szCs w:val="28"/>
              </w:rPr>
              <w:t>年</w:t>
            </w:r>
            <w:r>
              <w:rPr>
                <w:rFonts w:hint="eastAsia" w:ascii="仿宋" w:hAnsi="仿宋" w:eastAsia="仿宋" w:cs="仿宋"/>
                <w:sz w:val="28"/>
                <w:szCs w:val="28"/>
                <w:u w:val="single"/>
              </w:rPr>
              <w:t xml:space="preserve">  6  </w:t>
            </w:r>
            <w:r>
              <w:rPr>
                <w:rFonts w:hint="eastAsia" w:ascii="仿宋" w:hAnsi="仿宋" w:eastAsia="仿宋" w:cs="仿宋"/>
                <w:sz w:val="28"/>
                <w:szCs w:val="28"/>
              </w:rPr>
              <w:t>月</w:t>
            </w:r>
            <w:r>
              <w:rPr>
                <w:rFonts w:hint="eastAsia" w:ascii="仿宋" w:hAnsi="仿宋" w:eastAsia="仿宋" w:cs="仿宋"/>
                <w:sz w:val="28"/>
                <w:szCs w:val="28"/>
                <w:u w:val="single"/>
              </w:rPr>
              <w:t xml:space="preserve">  29  </w:t>
            </w:r>
            <w:r>
              <w:rPr>
                <w:rFonts w:hint="eastAsia" w:ascii="仿宋" w:hAnsi="仿宋" w:eastAsia="仿宋" w:cs="仿宋"/>
                <w:sz w:val="28"/>
                <w:szCs w:val="28"/>
              </w:rPr>
              <w:t>日</w:t>
            </w:r>
          </w:p>
        </w:tc>
        <w:tc>
          <w:tcPr>
            <w:tcW w:w="1260" w:type="dxa"/>
            <w:vAlign w:val="center"/>
          </w:tcPr>
          <w:p w14:paraId="011207C4">
            <w:pPr>
              <w:widowControl/>
              <w:spacing w:line="400" w:lineRule="exact"/>
              <w:jc w:val="center"/>
              <w:rPr>
                <w:sz w:val="24"/>
              </w:rPr>
            </w:pPr>
            <w:r>
              <w:rPr>
                <w:rFonts w:hint="eastAsia" w:ascii="仿宋" w:hAnsi="仿宋" w:eastAsia="仿宋" w:cs="仿宋"/>
                <w:sz w:val="28"/>
                <w:szCs w:val="28"/>
              </w:rPr>
              <w:t>地  点</w:t>
            </w:r>
          </w:p>
        </w:tc>
        <w:tc>
          <w:tcPr>
            <w:tcW w:w="2907" w:type="dxa"/>
            <w:vAlign w:val="center"/>
          </w:tcPr>
          <w:p w14:paraId="2BC09673">
            <w:pPr>
              <w:widowControl/>
              <w:jc w:val="center"/>
              <w:rPr>
                <w:sz w:val="24"/>
              </w:rPr>
            </w:pPr>
            <w:r>
              <w:rPr>
                <w:rFonts w:hint="eastAsia" w:ascii="仿宋" w:hAnsi="仿宋" w:eastAsia="仿宋" w:cs="仿宋"/>
                <w:sz w:val="28"/>
                <w:szCs w:val="28"/>
              </w:rPr>
              <w:t>教2-203</w:t>
            </w:r>
          </w:p>
        </w:tc>
      </w:tr>
      <w:tr w14:paraId="09B4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855" w:type="dxa"/>
            <w:gridSpan w:val="4"/>
          </w:tcPr>
          <w:p w14:paraId="5DC0F18B">
            <w:pPr>
              <w:spacing w:line="400" w:lineRule="exact"/>
              <w:rPr>
                <w:rFonts w:hint="eastAsia" w:ascii="仿宋" w:hAnsi="仿宋" w:eastAsia="仿宋" w:cs="仿宋"/>
                <w:sz w:val="28"/>
                <w:szCs w:val="28"/>
              </w:rPr>
            </w:pPr>
            <w:r>
              <w:rPr>
                <w:rFonts w:hint="eastAsia" w:ascii="仿宋" w:hAnsi="仿宋" w:eastAsia="仿宋" w:cs="仿宋"/>
                <w:sz w:val="28"/>
                <w:szCs w:val="28"/>
              </w:rPr>
              <w:t>记录内容：</w:t>
            </w:r>
          </w:p>
          <w:p w14:paraId="4DFF4094">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1. 临近降水预报中使用的影响因素有哪些？这些数据（如风速、风向、温度等）的来源、获取方式和数据量是多少？</w:t>
            </w:r>
          </w:p>
          <w:p w14:paraId="545D5ADC">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本研究构建预报模型所使用的影响因子主要包括以下几类：气象状态变量：风速、风向、温度、湿度、海平面气压。降水核心观测：历史降水序列、雷达组合反射率（反映降水微物理过程）。遥感信息：FY-4B静止气象卫星的多通道数据。地形数据：高分辨率地形高程数据（DEM）。数据来源与获取：主要合作数据源：本研究是与省气象局合作的重大项目，因此核心数据（尤其是高时空分辨率的地面自动站、雷达、卫星临近预报产品）直接来源于省气象局的业务观测网络。辅助公开数据：为补充和验证，我们也使用了公开数据集，如ERA5再分析资料和NASA的IMERG等卫星降水产品。这些公开数据的指标与气象局数据在物理意义上是一致的。数据量：在前期实验阶段，我们使用了2021-202</w:t>
            </w:r>
            <w:r>
              <w:rPr>
                <w:rFonts w:hint="eastAsia" w:ascii="仿宋" w:hAnsi="仿宋" w:eastAsia="仿宋" w:cs="仿宋"/>
                <w:sz w:val="28"/>
                <w:szCs w:val="28"/>
              </w:rPr>
              <w:t>5</w:t>
            </w:r>
            <w:r>
              <w:rPr>
                <w:rFonts w:ascii="仿宋" w:hAnsi="仿宋" w:eastAsia="仿宋" w:cs="仿宋"/>
                <w:sz w:val="28"/>
                <w:szCs w:val="28"/>
              </w:rPr>
              <w:t>年共</w:t>
            </w:r>
            <w:r>
              <w:rPr>
                <w:rFonts w:hint="eastAsia" w:ascii="仿宋" w:hAnsi="仿宋" w:eastAsia="仿宋" w:cs="仿宋"/>
                <w:sz w:val="28"/>
                <w:szCs w:val="28"/>
              </w:rPr>
              <w:t>5</w:t>
            </w:r>
            <w:r>
              <w:rPr>
                <w:rFonts w:ascii="仿宋" w:hAnsi="仿宋" w:eastAsia="仿宋" w:cs="仿宋"/>
                <w:sz w:val="28"/>
                <w:szCs w:val="28"/>
              </w:rPr>
              <w:t>年的历史数据进行模型训练和验证。考虑到降水事件本身的非均匀分布（例如，小雨或无雨情况在历史记录中占比高达70%-80%，而暴雨等极端事件相对稀少），我们在构建训练集时，会特别关注样本平衡策略。这包括对强降水事件（如大雨、暴雨等级）进行重点采样或数据增强，确保模型能有效学习关键天气过程，避免模型偏向于预测常见但预报价值较低的无雨/小雨状态。最终用于训练的有效样本量在几万条级别。</w:t>
            </w:r>
          </w:p>
          <w:p w14:paraId="1C7395BF">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2.你的临近降水预报的时效是多长？选择生成对抗网络（GAN）的创新点体现在哪里？是否已进行初步实验，效果如何？</w:t>
            </w:r>
          </w:p>
          <w:p w14:paraId="1944827A">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本研究主要聚焦于0-2小时的临近预报，目标是生成逐10分钟的高时空分辨率降水产品。同时，作为模型能力的探索和延伸，我们也计划进行0-6小时的短时预报尝试，输出逐小时的预报结果。选择GAN的创新点：选择生成对抗网络（GAN）框架，主要基于其在解决降水预报关键难点上的两个核心优势，这也是我们研究的主要创新方向：解决样本不平衡与极端事件建模：正如前面提到的，高影响降水事件（如暴雨）样本相对稀少。GAN（特别是WGAN-GP框架）在生成建模方面具有优势，能够通过学习数据分布，有效地生成符合物理规律的合成降水场，这有助于扩充对稀有极端降水模式的表征，改善模型对这类事件的预报能力。提升空间结构精细度与物理合理性：传统回归模型（如纯ConvLSTM）在进行降水外推时，常导致预测的降水区域边界模糊、结构失真（例如，锋面不清晰）。本研究提出的PhysGAN 和 WGAN-SPNet 模型，通过在GAN框架中显式嵌入物理约束（如在损失函数中加入基于Sobel算子的边缘损失强制锐化气象边界，加入平滑损失抑制非物理噪声点，在WGAN-SPNet中利用地形引导），能够提升生成降水场的空间结构细节和物理一致性，使预测的雨带形态、锋面位置等更接近真实观测。初步实验：目前，我们已经复现并测试了一些基础的</w:t>
            </w:r>
            <w:r>
              <w:rPr>
                <w:rFonts w:hint="eastAsia" w:ascii="仿宋" w:hAnsi="仿宋" w:eastAsia="仿宋" w:cs="仿宋"/>
                <w:sz w:val="28"/>
                <w:szCs w:val="28"/>
              </w:rPr>
              <w:t>回归</w:t>
            </w:r>
            <w:r>
              <w:rPr>
                <w:rFonts w:ascii="仿宋" w:hAnsi="仿宋" w:eastAsia="仿宋" w:cs="仿宋"/>
                <w:sz w:val="28"/>
                <w:szCs w:val="28"/>
              </w:rPr>
              <w:t>预报模型。这些基线模型的初步结果显示，它们在预报精度，特别是在捕捉强降水细节和维持长时间预报的物理合理性方面，效果尚不够理想，存在明显的模糊和失真现象。这进一步印证了引入GAN框架和物理约束的必要性。我们基于GAN架构的模型（PhysGAN, WGAN-SPNet）正在开发调试中，具体的量化对比实验结果将是下一阶段工作的重点。</w:t>
            </w:r>
          </w:p>
          <w:p w14:paraId="744E3DBC">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3.你认为影响降水预报的主要因素是什么？地形因素在你的模型中是如何考虑的？你的两个模型（PhysGAN和WGAN-SPNet）主要差别在哪里？</w:t>
            </w:r>
          </w:p>
          <w:p w14:paraId="78A35712">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浙江地区的降水预报挑战主要源于其独特的地理和气候背景：复杂地形：研究区域（覆盖浙西北天目山脉、浙中金衢盆地、浙东南沿海丘陵）地形起伏显著。山脉（如天目山）的动力抬升作用对水汽输送和降水分布有决定性影响，盆地和沿海地形也调制着局地环流和对流触发。多尺度天气系统：既受梅雨锋系持续性降水影响，又频繁遭遇台风引发的突发性强对流系统。模型中地形因素的考量：地形因素是本研究的关键输入和约束点之一：数据输入：我们已将高分辨率地形高程数据（DEM）作为核心输入特征之一，输入模型。模型设计：特别是在WGAN-SPNet 模型中，我们设计了地形引导插值模块和物理约束注意力机制（AttenConvGRU）。这些模块旨在显式地让模型学习地形（如坡度、坡向）与气象要素（如风场辐合抬升）的相互作用，动态聚焦于地形强迫效应显著的区域（如迎风坡），以改善地形降水的预报准确性。两个模型的差别：PhysGAN 和 WGAN-SPNet 是本研究的两个核心模型，侧重点不同：PhysGAN：核心创新在于直接在GAN的损失函数层面嵌入物理约束（如拉普拉斯平滑损失 ∇² Loss 强制空间连续性，Sobel边缘损失锐化气象边界）。它侧重于提升生成降水场的整体物理合理性和基础时空建模能力。WGAN-SPNet：在PhysGAN基础上更进一步，其核心创新在于：1) 采用双分辨率判别器架构（高分辨率分支抓细节，低分辨率分支控整体），显著提升降水空间结构细节（特别是地形相关降水）的生成精度；2) 引入了更强大的时序建模模块（AttenConvGRU）并结合物理引导的时空注意力，旨在更好地捕捉复杂地形下降水系统的演变规律，并缓解长时序预报（如0-6小时）中的物理一致性衰减问题。</w:t>
            </w:r>
          </w:p>
          <w:p w14:paraId="2D503E75">
            <w:pPr>
              <w:spacing w:after="60" w:line="400" w:lineRule="exact"/>
              <w:rPr>
                <w:rFonts w:hint="eastAsia" w:ascii="仿宋" w:hAnsi="仿宋" w:eastAsia="仿宋" w:cs="仿宋"/>
                <w:sz w:val="28"/>
                <w:szCs w:val="28"/>
              </w:rPr>
            </w:pPr>
          </w:p>
          <w:p w14:paraId="7A78DE26">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4.报告中提到的“地形降水相关系数&lt;0.45”，这个相关系数具体是如何计算或得出的？</w:t>
            </w:r>
          </w:p>
          <w:p w14:paraId="09EF5B3C">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报告中提到的“地形降水相关系数&lt;0.45”这个数值，主要来源于我们前期的文献调研</w:t>
            </w:r>
            <w:r>
              <w:rPr>
                <w:rFonts w:hint="eastAsia" w:ascii="仿宋" w:hAnsi="仿宋" w:eastAsia="仿宋" w:cs="仿宋"/>
                <w:sz w:val="28"/>
                <w:szCs w:val="28"/>
              </w:rPr>
              <w:t>内容</w:t>
            </w:r>
            <w:r>
              <w:rPr>
                <w:rFonts w:ascii="仿宋" w:hAnsi="仿宋" w:eastAsia="仿宋" w:cs="仿宋"/>
                <w:sz w:val="28"/>
                <w:szCs w:val="28"/>
              </w:rPr>
              <w:t>。在降水临近预报领域，尤其是在复杂地形区域（如我们的研究区包含的天目山、沿海丘陵），评估模型预报的降水空间分布与实际观测之间的空间相关性（如皮尔逊相关系数）是一个常用指标。多篇评估研究（例如针对传统光流法、统计外推法甚至早期深度学习模型在类似复杂地形区的检验结果）表明，这类模型在地形抬升区、背风坡等关键区域的降水空间分布预报相关系数往往较低，普遍低于0.45。这反映了传统方法在表征地形-降水非线性相互作用方面的显著不足。这个数值为我们模型的研发设定了一个重要的性能基准。我们将在后续的模型训练和验证中，严格计算并报告我们自己模型在相同或类似指标上的表现（例如，计算模型预测的降水场与验证集真实降水场在空间格点上的相关系数），以定量评估我们所提出的物理约束GAN模型（特别是WGAN-SPNet中的地形引导模块）在克服这一挑战、提升地形降水预报精度方面的实际效果。</w:t>
            </w:r>
          </w:p>
          <w:p w14:paraId="3E8BB0FD">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5.你当前的研究主要是数值（数据）驱动的方法吗？是否考虑了物理驱动？题目是“生成对抗网络”，看起来偏数值驱动，物理方法体现在哪里？</w:t>
            </w:r>
          </w:p>
          <w:p w14:paraId="1011A97D">
            <w:pPr>
              <w:spacing w:line="400" w:lineRule="exact"/>
              <w:rPr>
                <w:sz w:val="24"/>
              </w:rPr>
            </w:pPr>
            <w:r>
              <w:rPr>
                <w:rFonts w:hint="eastAsia" w:ascii="仿宋" w:hAnsi="仿宋" w:eastAsia="仿宋" w:cs="仿宋"/>
                <w:b/>
                <w:bCs/>
                <w:sz w:val="28"/>
                <w:szCs w:val="28"/>
              </w:rPr>
              <w:t>回答：</w:t>
            </w:r>
            <w:r>
              <w:rPr>
                <w:rFonts w:ascii="仿宋" w:hAnsi="仿宋" w:eastAsia="仿宋" w:cs="仿宋"/>
                <w:sz w:val="28"/>
                <w:szCs w:val="28"/>
              </w:rPr>
              <w:t>深度学习模型（包括GAN）本质上是数据驱动的。然而，本研究的一个核心创新点和重点，正是致力于弥合纯数据驱动与物理机理之间的鸿沟，探索“物理约束的数据驱动”范式在降水临近预报中的应用。物理方法并非缺席，而是深度融入了模型的设计：物理先验作为输入：模型输入不仅包含观测数据（数值），也包含直接反映物理状态的变量（如风场、湿度、气压梯度）以及地形高程这一关键物理环境因子。物理约束嵌入损失函数：这是PhysGAN 的核心。我们显式地在GAN的训练目标中加入了：∇² 平滑损失：强制生成的降水场在空间上满足一定的连续性（近似满足拉普拉斯方程），抑制非物理的孤立噪声点，这隐含地关联着质量守恒的思想。Sobel 边缘损失：通过计算并匹配生成降水场与真实降水场的空间梯度（边缘），锐化关键的气象边界（如锋面、雨带边缘），这直接针对传统模型预测模糊的问题，增强突变特征的物理合理性。物理引导的模型结构：在WGAN-SPNet 中更进一步：设计了地形引导插值模块，利用地形信息直接影响特征生成。在关键的AttenConvGRU 时序建模模块中引入了物理约束的注意力机制。该机制旨在动态聚焦于由物理知识（如高对流有效位能CAPE区、地形抬升触发区）指示的关键气象敏感区域，引导模型学习符合物理规律的演变过程。双分辨率判别器的设计也隐含了物理动机：天气尺度系统（宏观）与对流尺度过程（微观）需要不同的视角来评估其物理合理性。本研究题目虽聚焦“生成对抗网络”这一数据驱动工具，但内核是“物理约束的生成对抗网络”。我们不是构建纯物理方程模型，而是将关键物理知识（连续性、突变性、地形强迫）转化为可嵌入深度学习框架的数学约束（损失函数项）或结构设计（注意力引导），目标是让数据驱动模型学习到的规律更符合已知的大气物理原理，从而提高预报的可解释性、泛化性和在复杂场景的鲁棒性。</w:t>
            </w:r>
          </w:p>
          <w:p w14:paraId="109FD025">
            <w:pPr>
              <w:widowControl/>
              <w:spacing w:line="400" w:lineRule="exact"/>
              <w:rPr>
                <w:sz w:val="24"/>
              </w:rPr>
            </w:pPr>
          </w:p>
          <w:p w14:paraId="5E00C39A">
            <w:pPr>
              <w:spacing w:line="400" w:lineRule="exact"/>
              <w:rPr>
                <w:sz w:val="24"/>
              </w:rPr>
            </w:pPr>
          </w:p>
          <w:p w14:paraId="5E5CD292">
            <w:pPr>
              <w:spacing w:line="400" w:lineRule="exact"/>
              <w:rPr>
                <w:sz w:val="24"/>
              </w:rPr>
            </w:pPr>
          </w:p>
          <w:p w14:paraId="2A070CE6">
            <w:pPr>
              <w:spacing w:line="400" w:lineRule="exact"/>
              <w:rPr>
                <w:sz w:val="24"/>
              </w:rPr>
            </w:pPr>
          </w:p>
          <w:p w14:paraId="6B868F92">
            <w:pPr>
              <w:spacing w:line="400" w:lineRule="exact"/>
              <w:rPr>
                <w:sz w:val="24"/>
              </w:rPr>
            </w:pPr>
          </w:p>
          <w:p w14:paraId="243EC0D6">
            <w:pPr>
              <w:spacing w:line="400" w:lineRule="exact"/>
              <w:rPr>
                <w:sz w:val="24"/>
              </w:rPr>
            </w:pPr>
          </w:p>
          <w:p w14:paraId="1678A1B2">
            <w:pPr>
              <w:spacing w:line="400" w:lineRule="exact"/>
              <w:rPr>
                <w:sz w:val="24"/>
              </w:rPr>
            </w:pPr>
          </w:p>
          <w:p w14:paraId="2CDFD5E0">
            <w:pPr>
              <w:spacing w:line="400" w:lineRule="exact"/>
              <w:rPr>
                <w:sz w:val="24"/>
              </w:rPr>
            </w:pPr>
          </w:p>
          <w:p w14:paraId="221CAC4C">
            <w:pPr>
              <w:spacing w:line="400" w:lineRule="exact"/>
              <w:rPr>
                <w:sz w:val="24"/>
              </w:rPr>
            </w:pPr>
          </w:p>
          <w:p w14:paraId="410AA2BF">
            <w:pPr>
              <w:spacing w:line="400" w:lineRule="exact"/>
              <w:rPr>
                <w:sz w:val="24"/>
              </w:rPr>
            </w:pPr>
          </w:p>
          <w:p w14:paraId="501249A2">
            <w:pPr>
              <w:spacing w:line="400" w:lineRule="exact"/>
              <w:rPr>
                <w:sz w:val="24"/>
              </w:rPr>
            </w:pPr>
          </w:p>
          <w:p w14:paraId="689FBA4B">
            <w:pPr>
              <w:spacing w:line="400" w:lineRule="exact"/>
              <w:rPr>
                <w:sz w:val="24"/>
              </w:rPr>
            </w:pPr>
          </w:p>
          <w:p w14:paraId="52BAC568">
            <w:pPr>
              <w:spacing w:line="400" w:lineRule="exact"/>
              <w:rPr>
                <w:sz w:val="24"/>
              </w:rPr>
            </w:pPr>
          </w:p>
          <w:p w14:paraId="623411C7">
            <w:pPr>
              <w:spacing w:line="400" w:lineRule="exact"/>
              <w:rPr>
                <w:sz w:val="24"/>
              </w:rPr>
            </w:pPr>
          </w:p>
          <w:p w14:paraId="029AE7D2">
            <w:pPr>
              <w:spacing w:line="400" w:lineRule="exact"/>
              <w:rPr>
                <w:sz w:val="24"/>
              </w:rPr>
            </w:pPr>
          </w:p>
          <w:p w14:paraId="0BBC25AE">
            <w:pPr>
              <w:spacing w:line="400" w:lineRule="exact"/>
              <w:rPr>
                <w:sz w:val="24"/>
              </w:rPr>
            </w:pPr>
          </w:p>
          <w:p w14:paraId="4BFE3524">
            <w:pPr>
              <w:spacing w:line="400" w:lineRule="exact"/>
              <w:rPr>
                <w:sz w:val="24"/>
              </w:rPr>
            </w:pPr>
          </w:p>
          <w:p w14:paraId="724987FF">
            <w:pPr>
              <w:spacing w:line="400" w:lineRule="exact"/>
              <w:rPr>
                <w:sz w:val="24"/>
              </w:rPr>
            </w:pPr>
          </w:p>
          <w:p w14:paraId="09F34211">
            <w:pPr>
              <w:spacing w:line="400" w:lineRule="exact"/>
              <w:rPr>
                <w:sz w:val="24"/>
              </w:rPr>
            </w:pPr>
          </w:p>
          <w:p w14:paraId="543A468A">
            <w:pPr>
              <w:spacing w:line="400" w:lineRule="exact"/>
              <w:rPr>
                <w:sz w:val="24"/>
              </w:rPr>
            </w:pPr>
          </w:p>
          <w:p w14:paraId="5AB0F718">
            <w:pPr>
              <w:spacing w:line="400" w:lineRule="exact"/>
              <w:rPr>
                <w:sz w:val="24"/>
              </w:rPr>
            </w:pPr>
          </w:p>
          <w:p w14:paraId="52044130">
            <w:pPr>
              <w:spacing w:line="400" w:lineRule="exact"/>
              <w:rPr>
                <w:sz w:val="24"/>
              </w:rPr>
            </w:pPr>
          </w:p>
          <w:p w14:paraId="0845B6BE">
            <w:pPr>
              <w:spacing w:line="400" w:lineRule="exact"/>
              <w:rPr>
                <w:sz w:val="24"/>
              </w:rPr>
            </w:pPr>
          </w:p>
          <w:p w14:paraId="75804481">
            <w:pPr>
              <w:spacing w:line="400" w:lineRule="exact"/>
              <w:rPr>
                <w:sz w:val="24"/>
              </w:rPr>
            </w:pPr>
          </w:p>
          <w:p w14:paraId="54D0EC84">
            <w:pPr>
              <w:spacing w:line="400" w:lineRule="exact"/>
              <w:rPr>
                <w:sz w:val="24"/>
              </w:rPr>
            </w:pPr>
          </w:p>
          <w:p w14:paraId="6E0E7445">
            <w:pPr>
              <w:spacing w:line="400" w:lineRule="exact"/>
              <w:rPr>
                <w:sz w:val="24"/>
              </w:rPr>
            </w:pPr>
          </w:p>
          <w:p w14:paraId="3B8F5F9F">
            <w:pPr>
              <w:spacing w:line="400" w:lineRule="exact"/>
              <w:rPr>
                <w:sz w:val="24"/>
              </w:rPr>
            </w:pPr>
          </w:p>
          <w:p w14:paraId="0654279D">
            <w:pPr>
              <w:spacing w:line="400" w:lineRule="exact"/>
              <w:ind w:firstLine="6240" w:firstLineChars="2600"/>
              <w:rPr>
                <w:sz w:val="24"/>
              </w:rPr>
            </w:pPr>
            <w:r>
              <w:rPr>
                <w:rFonts w:hint="eastAsia"/>
                <w:sz w:val="24"/>
              </w:rPr>
              <w:t>记录人签名：</w:t>
            </w:r>
          </w:p>
          <w:p w14:paraId="65806522">
            <w:pPr>
              <w:widowControl/>
              <w:spacing w:line="400" w:lineRule="exact"/>
              <w:rPr>
                <w:sz w:val="24"/>
              </w:rPr>
            </w:pPr>
          </w:p>
        </w:tc>
      </w:tr>
    </w:tbl>
    <w:p w14:paraId="76F2E646">
      <w:pPr>
        <w:rPr>
          <w:sz w:val="22"/>
        </w:rPr>
      </w:pPr>
    </w:p>
    <w:sectPr>
      <w:pgSz w:w="11907" w:h="16840"/>
      <w:pgMar w:top="851" w:right="1077" w:bottom="1558" w:left="1191"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22C0C">
    <w:pPr>
      <w:pStyle w:val="9"/>
      <w:framePr w:wrap="around" w:vAnchor="text" w:hAnchor="margin" w:xAlign="center" w:y="1"/>
      <w:rPr>
        <w:rStyle w:val="17"/>
      </w:rPr>
    </w:pPr>
    <w:r>
      <w:fldChar w:fldCharType="begin"/>
    </w:r>
    <w:r>
      <w:rPr>
        <w:rStyle w:val="17"/>
      </w:rPr>
      <w:instrText xml:space="preserve">PAGE  </w:instrText>
    </w:r>
    <w:r>
      <w:fldChar w:fldCharType="end"/>
    </w:r>
  </w:p>
  <w:p w14:paraId="2BC080C8">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8A78C"/>
    <w:multiLevelType w:val="singleLevel"/>
    <w:tmpl w:val="CF18A78C"/>
    <w:lvl w:ilvl="0" w:tentative="0">
      <w:start w:val="1"/>
      <w:numFmt w:val="chineseCounting"/>
      <w:suff w:val="nothing"/>
      <w:lvlText w:val="%1、"/>
      <w:lvlJc w:val="left"/>
      <w:rPr>
        <w:rFonts w:hint="eastAsia"/>
      </w:rPr>
    </w:lvl>
  </w:abstractNum>
  <w:abstractNum w:abstractNumId="1">
    <w:nsid w:val="FBF9D5DE"/>
    <w:multiLevelType w:val="singleLevel"/>
    <w:tmpl w:val="FBF9D5DE"/>
    <w:lvl w:ilvl="0" w:tentative="0">
      <w:start w:val="4"/>
      <w:numFmt w:val="chineseCounting"/>
      <w:suff w:val="nothing"/>
      <w:lvlText w:val="%1、"/>
      <w:lvlJc w:val="left"/>
      <w:rPr>
        <w:rFonts w:hint="eastAsia"/>
      </w:rPr>
    </w:lvl>
  </w:abstractNum>
  <w:abstractNum w:abstractNumId="2">
    <w:nsid w:val="3077C3BB"/>
    <w:multiLevelType w:val="singleLevel"/>
    <w:tmpl w:val="3077C3BB"/>
    <w:lvl w:ilvl="0" w:tentative="0">
      <w:start w:val="2"/>
      <w:numFmt w:val="decimal"/>
      <w:suff w:val="nothing"/>
      <w:lvlText w:val="（%1）"/>
      <w:lvlJc w:val="left"/>
    </w:lvl>
  </w:abstractNum>
  <w:abstractNum w:abstractNumId="3">
    <w:nsid w:val="605859C6"/>
    <w:multiLevelType w:val="singleLevel"/>
    <w:tmpl w:val="605859C6"/>
    <w:lvl w:ilvl="0" w:tentative="0">
      <w:start w:val="3"/>
      <w:numFmt w:val="chineseCounting"/>
      <w:suff w:val="nothing"/>
      <w:lvlText w:val="第%1，"/>
      <w:lvlJc w:val="left"/>
      <w:rPr>
        <w:rFonts w:hint="eastAsi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5DC4"/>
    <w:rsid w:val="00172A27"/>
    <w:rsid w:val="002817AC"/>
    <w:rsid w:val="00724028"/>
    <w:rsid w:val="008B5568"/>
    <w:rsid w:val="00974576"/>
    <w:rsid w:val="00AF3298"/>
    <w:rsid w:val="00C50A86"/>
    <w:rsid w:val="00CF1C45"/>
    <w:rsid w:val="00D958B4"/>
    <w:rsid w:val="00F03BF1"/>
    <w:rsid w:val="023F0464"/>
    <w:rsid w:val="03127926"/>
    <w:rsid w:val="03726617"/>
    <w:rsid w:val="04CB4231"/>
    <w:rsid w:val="068647B9"/>
    <w:rsid w:val="06F5681E"/>
    <w:rsid w:val="07E31891"/>
    <w:rsid w:val="083940E9"/>
    <w:rsid w:val="08A74FB5"/>
    <w:rsid w:val="08F10805"/>
    <w:rsid w:val="091647BE"/>
    <w:rsid w:val="09523172"/>
    <w:rsid w:val="0A193C90"/>
    <w:rsid w:val="0AFF2E86"/>
    <w:rsid w:val="0B307789"/>
    <w:rsid w:val="0C264442"/>
    <w:rsid w:val="0C815336"/>
    <w:rsid w:val="0F900551"/>
    <w:rsid w:val="1025693D"/>
    <w:rsid w:val="118A4D78"/>
    <w:rsid w:val="13851C48"/>
    <w:rsid w:val="13E76BAD"/>
    <w:rsid w:val="15755493"/>
    <w:rsid w:val="15D12754"/>
    <w:rsid w:val="16381081"/>
    <w:rsid w:val="16897AA8"/>
    <w:rsid w:val="175D54EB"/>
    <w:rsid w:val="17915F58"/>
    <w:rsid w:val="17D912A0"/>
    <w:rsid w:val="18422604"/>
    <w:rsid w:val="1ABC3857"/>
    <w:rsid w:val="1B485C9B"/>
    <w:rsid w:val="1C7A236C"/>
    <w:rsid w:val="1CC730D8"/>
    <w:rsid w:val="1D4D14B8"/>
    <w:rsid w:val="20EB5EB9"/>
    <w:rsid w:val="212C216C"/>
    <w:rsid w:val="213751C3"/>
    <w:rsid w:val="21B25C12"/>
    <w:rsid w:val="228026A7"/>
    <w:rsid w:val="229D0F77"/>
    <w:rsid w:val="230961F8"/>
    <w:rsid w:val="231352C9"/>
    <w:rsid w:val="23767606"/>
    <w:rsid w:val="243E0D86"/>
    <w:rsid w:val="250749B9"/>
    <w:rsid w:val="25910727"/>
    <w:rsid w:val="259869A0"/>
    <w:rsid w:val="25E35426"/>
    <w:rsid w:val="260D1F7D"/>
    <w:rsid w:val="26357304"/>
    <w:rsid w:val="289E694D"/>
    <w:rsid w:val="29235136"/>
    <w:rsid w:val="2A0E4A0F"/>
    <w:rsid w:val="2AC95817"/>
    <w:rsid w:val="2B18296B"/>
    <w:rsid w:val="2B6366C1"/>
    <w:rsid w:val="2C2E1F7D"/>
    <w:rsid w:val="2DB07BDC"/>
    <w:rsid w:val="2E525C7A"/>
    <w:rsid w:val="2EB3170E"/>
    <w:rsid w:val="2F3334E4"/>
    <w:rsid w:val="30D23BA6"/>
    <w:rsid w:val="31EC541C"/>
    <w:rsid w:val="31FE0EF2"/>
    <w:rsid w:val="32F4328A"/>
    <w:rsid w:val="34711E4F"/>
    <w:rsid w:val="34C226AB"/>
    <w:rsid w:val="369A12F2"/>
    <w:rsid w:val="36DB0394"/>
    <w:rsid w:val="395F0516"/>
    <w:rsid w:val="395F496C"/>
    <w:rsid w:val="39B051C8"/>
    <w:rsid w:val="39B210B9"/>
    <w:rsid w:val="39E906DA"/>
    <w:rsid w:val="3B4C75B5"/>
    <w:rsid w:val="3B7E6550"/>
    <w:rsid w:val="3C5B2FD3"/>
    <w:rsid w:val="3D75042F"/>
    <w:rsid w:val="3E06185A"/>
    <w:rsid w:val="3E7A3A51"/>
    <w:rsid w:val="3ECF4342"/>
    <w:rsid w:val="403D3616"/>
    <w:rsid w:val="40DC4AF4"/>
    <w:rsid w:val="42883F4D"/>
    <w:rsid w:val="42AA66E1"/>
    <w:rsid w:val="43140575"/>
    <w:rsid w:val="43193DDE"/>
    <w:rsid w:val="439044A5"/>
    <w:rsid w:val="43E03378"/>
    <w:rsid w:val="469859D9"/>
    <w:rsid w:val="46F30DEA"/>
    <w:rsid w:val="48E82B89"/>
    <w:rsid w:val="493020B6"/>
    <w:rsid w:val="4BC468B1"/>
    <w:rsid w:val="4BF2341E"/>
    <w:rsid w:val="4D6F0C1C"/>
    <w:rsid w:val="4DA75835"/>
    <w:rsid w:val="4ED70EB8"/>
    <w:rsid w:val="4F2411C2"/>
    <w:rsid w:val="50504BB7"/>
    <w:rsid w:val="508036EE"/>
    <w:rsid w:val="50DC7E7F"/>
    <w:rsid w:val="51AC406F"/>
    <w:rsid w:val="5230507C"/>
    <w:rsid w:val="555250C2"/>
    <w:rsid w:val="56BD0B46"/>
    <w:rsid w:val="57CA524F"/>
    <w:rsid w:val="57D86BE3"/>
    <w:rsid w:val="59B34546"/>
    <w:rsid w:val="59BA594E"/>
    <w:rsid w:val="5A5C3D75"/>
    <w:rsid w:val="5A7140A7"/>
    <w:rsid w:val="5B607711"/>
    <w:rsid w:val="5BFA3B05"/>
    <w:rsid w:val="5C543399"/>
    <w:rsid w:val="5D924A61"/>
    <w:rsid w:val="5DE74E3C"/>
    <w:rsid w:val="5E1436C8"/>
    <w:rsid w:val="5F1D0C80"/>
    <w:rsid w:val="5F210735"/>
    <w:rsid w:val="5F7D704B"/>
    <w:rsid w:val="5FC04B62"/>
    <w:rsid w:val="60C53E4A"/>
    <w:rsid w:val="626F35C2"/>
    <w:rsid w:val="63755EBC"/>
    <w:rsid w:val="64A20F32"/>
    <w:rsid w:val="64EC64EC"/>
    <w:rsid w:val="65366619"/>
    <w:rsid w:val="658B0713"/>
    <w:rsid w:val="659077A3"/>
    <w:rsid w:val="65CE23AE"/>
    <w:rsid w:val="66BB5605"/>
    <w:rsid w:val="66D97709"/>
    <w:rsid w:val="66F61840"/>
    <w:rsid w:val="680D249C"/>
    <w:rsid w:val="681E591C"/>
    <w:rsid w:val="68E85E7D"/>
    <w:rsid w:val="69123E71"/>
    <w:rsid w:val="6A004737"/>
    <w:rsid w:val="6A2C58F8"/>
    <w:rsid w:val="6B225676"/>
    <w:rsid w:val="6BDF13BD"/>
    <w:rsid w:val="6D0E6A01"/>
    <w:rsid w:val="6D2C7256"/>
    <w:rsid w:val="6E805B45"/>
    <w:rsid w:val="6ED50C51"/>
    <w:rsid w:val="6FC54822"/>
    <w:rsid w:val="702D3015"/>
    <w:rsid w:val="70A74064"/>
    <w:rsid w:val="70DD57CC"/>
    <w:rsid w:val="72C30157"/>
    <w:rsid w:val="72CC3862"/>
    <w:rsid w:val="73373C88"/>
    <w:rsid w:val="74786307"/>
    <w:rsid w:val="74E4004F"/>
    <w:rsid w:val="76C22733"/>
    <w:rsid w:val="775972A4"/>
    <w:rsid w:val="78E33F6B"/>
    <w:rsid w:val="79A951B4"/>
    <w:rsid w:val="79B37DE1"/>
    <w:rsid w:val="7A7C01D3"/>
    <w:rsid w:val="7B5667DE"/>
    <w:rsid w:val="7C690A14"/>
    <w:rsid w:val="7D384885"/>
    <w:rsid w:val="7DE77D27"/>
    <w:rsid w:val="7E2D0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0"/>
    <w:pPr>
      <w:keepNext/>
      <w:keepLines/>
      <w:spacing w:before="312" w:beforeLines="100" w:after="312" w:afterLines="100"/>
      <w:outlineLvl w:val="0"/>
    </w:pPr>
    <w:rPr>
      <w:rFonts w:eastAsia="黑体"/>
      <w:b/>
      <w:bCs/>
      <w:kern w:val="44"/>
      <w:sz w:val="28"/>
      <w:szCs w:val="44"/>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0"/>
    <w:pPr>
      <w:jc w:val="center"/>
    </w:pPr>
    <w:rPr>
      <w:sz w:val="24"/>
    </w:rPr>
  </w:style>
  <w:style w:type="paragraph" w:styleId="7">
    <w:name w:val="Plain Text"/>
    <w:basedOn w:val="1"/>
    <w:link w:val="23"/>
    <w:qFormat/>
    <w:uiPriority w:val="0"/>
    <w:rPr>
      <w:rFonts w:hint="eastAsia" w:ascii="宋体" w:hAnsi="Courier New" w:cs="Courier New"/>
      <w:szCs w:val="21"/>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Normal (Web)"/>
    <w:basedOn w:val="1"/>
    <w:qFormat/>
    <w:uiPriority w:val="0"/>
    <w:pPr>
      <w:spacing w:beforeAutospacing="1" w:afterAutospacing="1"/>
      <w:jc w:val="left"/>
    </w:pPr>
    <w:rPr>
      <w:kern w:val="0"/>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qFormat/>
    <w:uiPriority w:val="0"/>
  </w:style>
  <w:style w:type="character" w:styleId="18">
    <w:name w:val="FollowedHyperlink"/>
    <w:qFormat/>
    <w:uiPriority w:val="0"/>
    <w:rPr>
      <w:color w:val="800080"/>
      <w:u w:val="single"/>
    </w:rPr>
  </w:style>
  <w:style w:type="character" w:styleId="19">
    <w:name w:val="Emphasis"/>
    <w:basedOn w:val="15"/>
    <w:qFormat/>
    <w:uiPriority w:val="0"/>
    <w:rPr>
      <w:i/>
    </w:rPr>
  </w:style>
  <w:style w:type="character" w:styleId="20">
    <w:name w:val="Hyperlink"/>
    <w:qFormat/>
    <w:uiPriority w:val="0"/>
    <w:rPr>
      <w:color w:val="0000FF"/>
      <w:u w:val="single"/>
    </w:rPr>
  </w:style>
  <w:style w:type="character" w:styleId="21">
    <w:name w:val="HTML Code"/>
    <w:basedOn w:val="15"/>
    <w:qFormat/>
    <w:uiPriority w:val="0"/>
    <w:rPr>
      <w:rFonts w:ascii="Courier New" w:hAnsi="Courier New"/>
      <w:sz w:val="20"/>
    </w:rPr>
  </w:style>
  <w:style w:type="character" w:customStyle="1" w:styleId="22">
    <w:name w:val="标题 1 字符"/>
    <w:link w:val="2"/>
    <w:qFormat/>
    <w:uiPriority w:val="0"/>
    <w:rPr>
      <w:rFonts w:eastAsia="黑体"/>
      <w:b/>
      <w:bCs/>
      <w:kern w:val="44"/>
      <w:sz w:val="28"/>
      <w:szCs w:val="44"/>
    </w:rPr>
  </w:style>
  <w:style w:type="character" w:customStyle="1" w:styleId="23">
    <w:name w:val="纯文本 字符"/>
    <w:link w:val="7"/>
    <w:qFormat/>
    <w:uiPriority w:val="0"/>
    <w:rPr>
      <w:rFonts w:ascii="宋体" w:hAnsi="Courier New" w:cs="Courier New"/>
      <w:kern w:val="2"/>
      <w:sz w:val="21"/>
      <w:szCs w:val="21"/>
    </w:rPr>
  </w:style>
  <w:style w:type="paragraph" w:customStyle="1" w:styleId="24">
    <w:name w:val="书目1"/>
    <w:basedOn w:val="1"/>
    <w:qFormat/>
    <w:uiPriority w:val="0"/>
    <w:pPr>
      <w:tabs>
        <w:tab w:val="left" w:pos="504"/>
      </w:tabs>
      <w:ind w:left="504" w:hanging="504"/>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hd</Company>
  <Pages>35</Pages>
  <Words>12356</Words>
  <Characters>14178</Characters>
  <Lines>1013</Lines>
  <Paragraphs>285</Paragraphs>
  <TotalTime>2</TotalTime>
  <ScaleCrop>false</ScaleCrop>
  <LinksUpToDate>false</LinksUpToDate>
  <CharactersWithSpaces>14287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2026-06-30T01:20:00Z</dcterms:created>
  <dc:creator>yjc</dc:creator>
  <cp:lastModifiedBy>平安</cp:lastModifiedBy>
  <cp:lastPrinted>2025-10-20T07:26:00Z</cp:lastPrinted>
  <dcterms:modified xsi:type="dcterms:W3CDTF">2026-07-06T09:48:42Z</dcterms:modified>
  <dc:title>华侨大学研究生学位论文开题报告申请表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E1742DAB9741492282DE5274A5488D71_13</vt:lpwstr>
  </property>
  <property fmtid="{D5CDD505-2E9C-101B-9397-08002B2CF9AE}" pid="3" name="KSOProductBuildVer">
    <vt:lpwstr>2052-12.1.0.26895</vt:lpwstr>
  </property>
  <property fmtid="{D5CDD505-2E9C-101B-9397-08002B2CF9AE}" pid="4" name="KSOTemplateDocerSaveRecord">
    <vt:lpwstr>eyJoZGlkIjoiYWQwNjk3ZDNhY2EyMzA1NTlmMjQ5N2NlOWI5YjRhYjAiLCJ1c2VySWQiOiIxNjQ4NjEwNjIxIn0=</vt:lpwstr>
  </property>
  <property fmtid="{D5CDD505-2E9C-101B-9397-08002B2CF9AE}" pid="5" name="ZOTERO_PREF_1">
    <vt:lpwstr>&lt;data data-version="3" zotero-version="7.0.16"&gt;&lt;session id="7pdVPBP2"/&gt;&lt;style id="https://www.zotero-chinese.com/styles/北京航空航天大学" hasBibliography="1" bibliographyStyleHasBeenSet="1"/&gt;&lt;prefs&gt;&lt;pref name="fieldType" value="Field"/&gt;&lt;/prefs&gt;&lt;/data&gt;</vt:lpwstr>
  </property>
</Properties>
</file>