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A2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考虑hota和mota去掉一个</w:t>
      </w:r>
    </w:p>
    <w:p w14:paraId="1BAE1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编辑的意见是综合性的，我们先回复审稿人的意见。这里需要明确的是，对于深度得分或者前景判断，由于我们假定无人机是外观相似的，因此这些无人机通常有相似的尺寸，他们在图像中的选框尺寸大概率是能判断前后景的。或者帮我想一个更合适的改进</w:t>
      </w:r>
    </w:p>
    <w:p w14:paraId="58B39328">
      <w:pPr>
        <w:rPr>
          <w:rFonts w:hint="eastAsia"/>
          <w:lang w:val="en-US" w:eastAsia="zh-CN"/>
        </w:rPr>
      </w:pPr>
    </w:p>
    <w:p w14:paraId="7A245CB9">
      <w:pPr>
        <w:rPr>
          <w:rFonts w:hint="eastAsia"/>
          <w:lang w:val="en-US" w:eastAsia="zh-CN"/>
        </w:rPr>
      </w:pPr>
    </w:p>
    <w:p w14:paraId="5FEE8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测试代码:对，应该先回复 Reviewer #1 Comment #1，而不是编辑的综合意见。</w:t>
      </w:r>
    </w:p>
    <w:p w14:paraId="1DECD5D4">
      <w:pPr>
        <w:rPr>
          <w:rFonts w:hint="eastAsia"/>
          <w:lang w:val="en-US" w:eastAsia="zh-CN"/>
        </w:rPr>
      </w:pPr>
    </w:p>
    <w:p w14:paraId="4CE0E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基本解释是成立的：实验中的无人机属于同型号、外观和物理尺寸近似一致，因此在透视投影下，目标成像尺度通常与相机距离负相关，较大的检测框可以作为前后景判断的概率性线索。但不能再写成“必然成立的物理不变量”，因为姿态和遮挡确实会影响检测框。</w:t>
      </w:r>
    </w:p>
    <w:p w14:paraId="60921ADE">
      <w:pPr>
        <w:rPr>
          <w:rFonts w:hint="eastAsia"/>
          <w:lang w:val="en-US" w:eastAsia="zh-CN"/>
        </w:rPr>
      </w:pPr>
    </w:p>
    <w:p w14:paraId="05AF4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更合适的改进是：把“当前帧边界框面积直接判断深度”改为“遮挡前多帧尺度统计 + 可靠性门控 + 遮挡期间冻结尺度更新”。</w:t>
      </w:r>
    </w:p>
    <w:p w14:paraId="1E31A384">
      <w:pPr>
        <w:rPr>
          <w:rFonts w:hint="eastAsia"/>
          <w:lang w:val="en-US" w:eastAsia="zh-CN"/>
        </w:rPr>
      </w:pPr>
    </w:p>
    <w:p w14:paraId="51EBE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具体来说：</w:t>
      </w:r>
    </w:p>
    <w:p w14:paraId="0F8758FD">
      <w:pPr>
        <w:rPr>
          <w:rFonts w:hint="eastAsia"/>
          <w:lang w:val="en-US" w:eastAsia="zh-CN"/>
        </w:rPr>
      </w:pPr>
    </w:p>
    <w:p w14:paraId="5C843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只使用目标尚未明显遮挡时的完整检测框。</w:t>
      </w:r>
    </w:p>
    <w:p w14:paraId="5AD17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对最近若干帧面积取中位数或指数滑动平均，降低检测框抖动影响。</w:t>
      </w:r>
    </w:p>
    <w:p w14:paraId="2ED0F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两个目标开始重叠时，使用遮挡前的平滑面积判断相对前后顺序。</w:t>
      </w:r>
    </w:p>
    <w:p w14:paraId="40D90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如果面积比例不够明显，则不使用该线索。</w:t>
      </w:r>
    </w:p>
    <w:p w14:paraId="72751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遮挡期间不再用可能被截断的检测框更新尺度。</w:t>
      </w:r>
    </w:p>
    <w:p w14:paraId="5D257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面积线索失效时，由 Kalman 运动预测、DWT 和 HSV 特征完成关联。</w:t>
      </w:r>
    </w:p>
    <w:p w14:paraId="41EBBED5">
      <w:pPr>
        <w:rPr>
          <w:rFonts w:hint="eastAsia"/>
          <w:lang w:val="en-US" w:eastAsia="zh-CN"/>
        </w:rPr>
      </w:pPr>
    </w:p>
    <w:p w14:paraId="4F4A5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这比直接强调“相同无人机面积可以判断远近”更能回应审稿人的质疑。</w:t>
      </w:r>
    </w:p>
    <w:p w14:paraId="2702A5C1">
      <w:pPr>
        <w:rPr>
          <w:rFonts w:hint="eastAsia"/>
          <w:lang w:val="en-US" w:eastAsia="zh-CN"/>
        </w:rPr>
      </w:pPr>
    </w:p>
    <w:p w14:paraId="2D7BC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建议回复</w:t>
      </w:r>
    </w:p>
    <w:p w14:paraId="59DAD38B">
      <w:pPr>
        <w:rPr>
          <w:rFonts w:hint="eastAsia"/>
          <w:lang w:val="en-US" w:eastAsia="zh-CN"/>
        </w:rPr>
      </w:pPr>
    </w:p>
    <w:p w14:paraId="2732E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```latex</w:t>
      </w:r>
    </w:p>
    <w:p w14:paraId="1F533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\response{</w:t>
      </w:r>
    </w:p>
    <w:p w14:paraId="7754C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thank the reviewer for pointing out the limitations of the</w:t>
      </w:r>
    </w:p>
    <w:p w14:paraId="40022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bounding-box-area assumption. We agree that the statement in the</w:t>
      </w:r>
    </w:p>
    <w:p w14:paraId="392CD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original manuscript---that a closer UAV necessarily produces a larger</w:t>
      </w:r>
    </w:p>
    <w:p w14:paraId="5CC8C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bounding box regardless of its motion---was overly strong. We have</w:t>
      </w:r>
    </w:p>
    <w:p w14:paraId="1B45A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removed this statement from the revised manuscript.</w:t>
      </w:r>
    </w:p>
    <w:p w14:paraId="5BD08D50">
      <w:pPr>
        <w:rPr>
          <w:rFonts w:hint="eastAsia"/>
          <w:lang w:val="en-US" w:eastAsia="zh-CN"/>
        </w:rPr>
      </w:pPr>
    </w:p>
    <w:p w14:paraId="1FAD4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UAVs considered in our experiments are visually homogeneous peers</w:t>
      </w:r>
    </w:p>
    <w:p w14:paraId="7E835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 the same model and have approximately identical physical</w:t>
      </w:r>
    </w:p>
    <w:p w14:paraId="68177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dimensions. Under this controlled condition, their projected image</w:t>
      </w:r>
    </w:p>
    <w:p w14:paraId="43083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scales generally provide a useful, although imperfect, cue to relative</w:t>
      </w:r>
    </w:p>
    <w:p w14:paraId="3A85D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depth: when two same-sized UAVs are observed from comparable</w:t>
      </w:r>
    </w:p>
    <w:p w14:paraId="65274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orientations, the UAV producing the larger image projection is more</w:t>
      </w:r>
    </w:p>
    <w:p w14:paraId="0DF2D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likely to be closer to the observing camera. Nevertheless, we agree</w:t>
      </w:r>
    </w:p>
    <w:p w14:paraId="70FA4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that this relationship is probabilistic rather than invariant because</w:t>
      </w:r>
    </w:p>
    <w:p w14:paraId="28829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observed bounding box can also be affected by UAV attitude,</w:t>
      </w:r>
    </w:p>
    <w:p w14:paraId="6F6E6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observer-camera motion, partial occlusion, motion blur, and detector</w:t>
      </w:r>
    </w:p>
    <w:p w14:paraId="34B5D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jitter.</w:t>
      </w:r>
    </w:p>
    <w:p w14:paraId="02F11671">
      <w:pPr>
        <w:rPr>
          <w:rFonts w:hint="eastAsia"/>
          <w:lang w:val="en-US" w:eastAsia="zh-CN"/>
        </w:rPr>
      </w:pPr>
    </w:p>
    <w:p w14:paraId="3695E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address this issue, we have revised the depth-scoring mechanism as a</w:t>
      </w:r>
    </w:p>
    <w:p w14:paraId="77BB9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temporally stabilized and reliability-gated relative-scale cue. First,</w:t>
      </w:r>
    </w:p>
    <w:p w14:paraId="4B758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bounding-box area of each track is smoothed over the most recent</w:t>
      </w:r>
    </w:p>
    <w:p w14:paraId="1FE46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non-occluded frames rather than being determined from a single frame.</w:t>
      </w:r>
    </w:p>
    <w:p w14:paraId="62987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Second, the relative ordering is established using the smoothed target</w:t>
      </w:r>
    </w:p>
    <w:p w14:paraId="79C5E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scales immediately before substantial overlap occurs. During</w:t>
      </w:r>
    </w:p>
    <w:p w14:paraId="45FFE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occlusion, potentially truncated detection boxes are not used to</w:t>
      </w:r>
    </w:p>
    <w:p w14:paraId="38A59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the scale estimate. Third, the cue is activated only when the</w:t>
      </w:r>
    </w:p>
    <w:p w14:paraId="094E2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targets belong to the same size category, their overlap exceeds the</w:t>
      </w:r>
    </w:p>
    <w:p w14:paraId="07B76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occlusion threshold, and the ratio between their temporally smoothed</w:t>
      </w:r>
    </w:p>
    <w:p w14:paraId="7EC2B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areas exceeds a reliability margin. If these conditions are not</w:t>
      </w:r>
    </w:p>
    <w:p w14:paraId="737E2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satisfied---as commonly occurs for distant targets with similar box</w:t>
      </w:r>
    </w:p>
    <w:p w14:paraId="24223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sizes---the method makes no foreground--background decision from</w:t>
      </w:r>
    </w:p>
    <w:p w14:paraId="76508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bounding-box area. Association then relies on the Kalman motion</w:t>
      </w:r>
    </w:p>
    <w:p w14:paraId="721A0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prediction and the HSV and DWT descriptor cues.</w:t>
      </w:r>
    </w:p>
    <w:p w14:paraId="03ECF478">
      <w:pPr>
        <w:rPr>
          <w:rFonts w:hint="eastAsia"/>
          <w:lang w:val="en-US" w:eastAsia="zh-CN"/>
        </w:rPr>
      </w:pPr>
    </w:p>
    <w:p w14:paraId="1E252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Accordingly, the revised manuscript no longer describes bounding-box</w:t>
      </w:r>
    </w:p>
    <w:p w14:paraId="15635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as metric depth or as a physical invariant. It is now described</w:t>
      </w:r>
    </w:p>
    <w:p w14:paraId="5B213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an auxiliary ordinal-depth prior specifically applicable to the</w:t>
      </w:r>
    </w:p>
    <w:p w14:paraId="2B38B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approximately same-sized UAVs considered in this work. Its role is</w:t>
      </w:r>
    </w:p>
    <w:p w14:paraId="0BCD4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limited to resolving selected foreground--background ambiguities</w:t>
      </w:r>
    </w:p>
    <w:p w14:paraId="6EE9E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during overlap rather than determining the complete target identity.</w:t>
      </w:r>
    </w:p>
    <w:p w14:paraId="08A3D007">
      <w:pPr>
        <w:rPr>
          <w:rFonts w:hint="eastAsia"/>
          <w:lang w:val="en-US" w:eastAsia="zh-CN"/>
        </w:rPr>
      </w:pPr>
    </w:p>
    <w:p w14:paraId="393A1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have also added an ablation discussion to clarify its contribution.</w:t>
      </w:r>
    </w:p>
    <w:p w14:paraId="3362D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the Court-2 sequence, introducing the area-based occlusion cue after</w:t>
      </w:r>
    </w:p>
    <w:p w14:paraId="32D2E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motion and histogram cues increases the identity retention rate</w:t>
      </w:r>
    </w:p>
    <w:p w14:paraId="64F79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87.631\% to 88.089\%, while the subsequent DWT descriptor provides</w:t>
      </w:r>
    </w:p>
    <w:p w14:paraId="5F735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larger improvement. This result confirms that the area cue is an</w:t>
      </w:r>
    </w:p>
    <w:p w14:paraId="7046F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auxiliary component rather than the principal identity cue. We have</w:t>
      </w:r>
    </w:p>
    <w:p w14:paraId="138DF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further added failure-case analysis for distant targets, attitude</w:t>
      </w:r>
    </w:p>
    <w:p w14:paraId="62D79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variation, partial occlusion, and detector-box fluctuation.</w:t>
      </w:r>
    </w:p>
    <w:p w14:paraId="02FF4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C8C2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0644067">
      <w:pPr>
        <w:rPr>
          <w:rFonts w:hint="eastAsia"/>
          <w:lang w:val="en-US" w:eastAsia="zh-CN"/>
        </w:rPr>
      </w:pPr>
    </w:p>
    <w:p w14:paraId="75C53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对应的方法修改</w:t>
      </w:r>
    </w:p>
    <w:p w14:paraId="3AE39036">
      <w:pPr>
        <w:rPr>
          <w:rFonts w:hint="eastAsia"/>
          <w:lang w:val="en-US" w:eastAsia="zh-CN"/>
        </w:rPr>
      </w:pPr>
    </w:p>
    <w:p w14:paraId="589FB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可以把平滑面积定义为：</w:t>
      </w:r>
    </w:p>
    <w:p w14:paraId="4F3D8D13">
      <w:pPr>
        <w:rPr>
          <w:rFonts w:hint="eastAsia"/>
          <w:lang w:val="en-US" w:eastAsia="zh-CN"/>
        </w:rPr>
      </w:pPr>
    </w:p>
    <w:p w14:paraId="1E776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```latex</w:t>
      </w:r>
    </w:p>
    <w:p w14:paraId="5E873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\begin{equation}</w:t>
      </w:r>
    </w:p>
    <w:p w14:paraId="73688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\bar{A}_i^{(t)}</w:t>
      </w:r>
    </w:p>
    <w:p w14:paraId="5704D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</w:t>
      </w:r>
    </w:p>
    <w:p w14:paraId="2CFC7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\operatorname{median}</w:t>
      </w:r>
    </w:p>
    <w:p w14:paraId="3F043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\left\{</w:t>
      </w:r>
    </w:p>
    <w:p w14:paraId="7D1DF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A_i^{(t-k)}</w:t>
      </w:r>
    </w:p>
    <w:p w14:paraId="46410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\mid</w:t>
      </w:r>
    </w:p>
    <w:p w14:paraId="4ECC9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k=0,\ldots,K-1,\;</w:t>
      </w:r>
    </w:p>
    <w:p w14:paraId="741D7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q_i^{(t-k)}=1</w:t>
      </w:r>
    </w:p>
    <w:p w14:paraId="13AC2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\right\},</w:t>
      </w:r>
    </w:p>
    <w:p w14:paraId="503E6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\end{equation}</w:t>
      </w:r>
    </w:p>
    <w:p w14:paraId="3F3C3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866C20B">
      <w:pPr>
        <w:rPr>
          <w:rFonts w:hint="eastAsia"/>
          <w:lang w:val="en-US" w:eastAsia="zh-CN"/>
        </w:rPr>
      </w:pPr>
    </w:p>
    <w:p w14:paraId="34723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6AB3E86B">
      <w:pPr>
        <w:rPr>
          <w:rFonts w:hint="eastAsia"/>
          <w:lang w:val="en-US" w:eastAsia="zh-CN"/>
        </w:rPr>
      </w:pPr>
    </w:p>
    <w:p w14:paraId="571E5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\(A_i^{(t)}\) 是目标 \(i\) 当前检测框面积；</w:t>
      </w:r>
    </w:p>
    <w:p w14:paraId="6AAB3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\(q_i^{(t)}=1\) 表示该帧检测框完整、目标未发生明显遮挡；</w:t>
      </w:r>
    </w:p>
    <w:p w14:paraId="6D0A3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\(K\) 是用于平滑的历史窗口长度。</w:t>
      </w:r>
    </w:p>
    <w:p w14:paraId="19CA2D8C">
      <w:pPr>
        <w:rPr>
          <w:rFonts w:hint="eastAsia"/>
          <w:lang w:val="en-US" w:eastAsia="zh-CN"/>
        </w:rPr>
      </w:pPr>
    </w:p>
    <w:p w14:paraId="70A01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然后不要再用面积差，而使用更容易解释的尺度比：</w:t>
      </w:r>
    </w:p>
    <w:p w14:paraId="79B323BD">
      <w:pPr>
        <w:rPr>
          <w:rFonts w:hint="eastAsia"/>
          <w:lang w:val="en-US" w:eastAsia="zh-CN"/>
        </w:rPr>
      </w:pPr>
    </w:p>
    <w:p w14:paraId="5DCC4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```latex</w:t>
      </w:r>
    </w:p>
    <w:p w14:paraId="26ACA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\begin{equation}</w:t>
      </w:r>
    </w:p>
    <w:p w14:paraId="150D9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R_{ij}^{(t)}</w:t>
      </w:r>
    </w:p>
    <w:p w14:paraId="0ED66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</w:t>
      </w:r>
    </w:p>
    <w:p w14:paraId="261E2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\frac{\max(\bar{A}_i^{(t)},\bar{A}_j^{(t)})}</w:t>
      </w:r>
    </w:p>
    <w:p w14:paraId="46C32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{\min(\bar{A}_i^{(t)},\bar{A}_j^{(t)})}.</w:t>
      </w:r>
    </w:p>
    <w:p w14:paraId="33637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\end{equation}</w:t>
      </w:r>
    </w:p>
    <w:p w14:paraId="37398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3C05B50">
      <w:pPr>
        <w:rPr>
          <w:rFonts w:hint="eastAsia"/>
          <w:lang w:val="en-US" w:eastAsia="zh-CN"/>
        </w:rPr>
      </w:pPr>
    </w:p>
    <w:p w14:paraId="1D6D3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门控条件改为：</w:t>
      </w:r>
    </w:p>
    <w:p w14:paraId="4F12EF90">
      <w:pPr>
        <w:rPr>
          <w:rFonts w:hint="eastAsia"/>
          <w:lang w:val="en-US" w:eastAsia="zh-CN"/>
        </w:rPr>
      </w:pPr>
    </w:p>
    <w:p w14:paraId="17685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```latex</w:t>
      </w:r>
    </w:p>
    <w:p w14:paraId="2AD03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\begin{equation}</w:t>
      </w:r>
    </w:p>
    <w:p w14:paraId="65093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G_{ij}^{(t)}</w:t>
      </w:r>
    </w:p>
    <w:p w14:paraId="39894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</w:t>
      </w:r>
    </w:p>
    <w:p w14:paraId="2EEE3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\begin{cases}</w:t>
      </w:r>
    </w:p>
    <w:p w14:paraId="795D9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 &amp;</w:t>
      </w:r>
    </w:p>
    <w:p w14:paraId="39638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\operatorname{IoU}(\mathbf{b}_i,\mathbf{b}_j)&gt;\tau_{\mathrm{IoU}},</w:t>
      </w:r>
    </w:p>
    <w:p w14:paraId="468B7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\quad</w:t>
      </w:r>
    </w:p>
    <w:p w14:paraId="237BE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R_{ij}^{(t)}&gt;\tau_A,</w:t>
      </w:r>
    </w:p>
    <w:p w14:paraId="5C0EC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\quad</w:t>
      </w:r>
    </w:p>
    <w:p w14:paraId="082F1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q_i=q_j=1,\\</w:t>
      </w:r>
    </w:p>
    <w:p w14:paraId="236E0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0, &amp; \text{otherwise}.</w:t>
      </w:r>
    </w:p>
    <w:p w14:paraId="4621D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\end{cases}</w:t>
      </w:r>
    </w:p>
    <w:p w14:paraId="4200B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\end{equation}</w:t>
      </w:r>
    </w:p>
    <w:p w14:paraId="6387A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B079C0F">
      <w:pPr>
        <w:rPr>
          <w:rFonts w:hint="eastAsia"/>
          <w:lang w:val="en-US" w:eastAsia="zh-CN"/>
        </w:rPr>
      </w:pPr>
    </w:p>
    <w:p w14:paraId="08218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\(G_{ij}^{(t)}=1\) 时，才把平滑面积较大的目标视为更可能处于前景；当 \(G=0\) 时，不从面积推断前后景。</w:t>
      </w:r>
    </w:p>
    <w:p w14:paraId="6D794F4E">
      <w:pPr>
        <w:rPr>
          <w:rFonts w:hint="eastAsia"/>
          <w:lang w:val="en-US" w:eastAsia="zh-CN"/>
        </w:rPr>
      </w:pPr>
    </w:p>
    <w:p w14:paraId="03A1E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推荐修改后的正文</w:t>
      </w:r>
    </w:p>
    <w:p w14:paraId="19CEAAE1">
      <w:pPr>
        <w:rPr>
          <w:rFonts w:hint="eastAsia"/>
          <w:lang w:val="en-US" w:eastAsia="zh-CN"/>
        </w:rPr>
      </w:pPr>
    </w:p>
    <w:p w14:paraId="6076C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```latex</w:t>
      </w:r>
    </w:p>
    <w:p w14:paraId="5472D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Because the UAV peers considered in this work are of the same model</w:t>
      </w:r>
    </w:p>
    <w:p w14:paraId="27501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have approximately identical physical dimensions, their relative</w:t>
      </w:r>
    </w:p>
    <w:p w14:paraId="7D5CC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 scales can provide a weak ordinal-depth cue. However, bounding-box</w:t>
      </w:r>
    </w:p>
    <w:p w14:paraId="0135B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is not treated as metric depth or as a physical invariant, because</w:t>
      </w:r>
    </w:p>
    <w:p w14:paraId="6D397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is also affected by target attitude, camera viewpoint, partial</w:t>
      </w:r>
    </w:p>
    <w:p w14:paraId="007CA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occlusion, motion blur, and detector jitter.</w:t>
      </w:r>
    </w:p>
    <w:p w14:paraId="1B365A22">
      <w:pPr>
        <w:rPr>
          <w:rFonts w:hint="eastAsia"/>
          <w:lang w:val="en-US" w:eastAsia="zh-CN"/>
        </w:rPr>
      </w:pPr>
    </w:p>
    <w:p w14:paraId="6CC6B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therefore use a temporally stabilized and reliability-gated scale</w:t>
      </w:r>
    </w:p>
    <w:p w14:paraId="73B6B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cue only for selected foreground--background ambiguities. The box area</w:t>
      </w:r>
    </w:p>
    <w:p w14:paraId="0840E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 each track is estimated from the median of its recent non-occluded</w:t>
      </w:r>
    </w:p>
    <w:p w14:paraId="14FF7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detections. When two tracks begin to overlap, the area ordering</w:t>
      </w:r>
    </w:p>
    <w:p w14:paraId="61279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established before occlusion is retained, and potentially truncated</w:t>
      </w:r>
    </w:p>
    <w:p w14:paraId="1E57E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boxes observed during occlusion are excluded from the scale update.</w:t>
      </w:r>
    </w:p>
    <w:p w14:paraId="0FC84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Area-based ordering is activated only when the overlap and smoothed</w:t>
      </w:r>
    </w:p>
    <w:p w14:paraId="32C3E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area-ratio thresholds are both satisfied. Otherwise, no depth ordering</w:t>
      </w:r>
    </w:p>
    <w:p w14:paraId="0305A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 inferred, and association relies on the remaining motion and</w:t>
      </w:r>
    </w:p>
    <w:p w14:paraId="5F6CF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appearance cues.</w:t>
      </w:r>
    </w:p>
    <w:p w14:paraId="32716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08631B6">
      <w:pPr>
        <w:rPr>
          <w:rFonts w:hint="eastAsia"/>
          <w:lang w:val="en-US" w:eastAsia="zh-CN"/>
        </w:rPr>
      </w:pPr>
    </w:p>
    <w:p w14:paraId="7EFE0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需要注意：如果代码目前仍然直接使用当前帧面积，就不能在回复中声称已经采用“历史中位数和遮挡冻结”。这种情况下，可以先将其作为修订算法真正实现并补测；否则回复应改成较弱版本，只说现有 `IoU + 面积差阈值` 是可靠性门控。</w:t>
      </w:r>
    </w:p>
    <w:p w14:paraId="70AC785E">
      <w:pPr>
        <w:rPr>
          <w:rFonts w:hint="eastAsia"/>
          <w:lang w:val="en-US" w:eastAsia="zh-CN"/>
        </w:rPr>
      </w:pPr>
    </w:p>
    <w:p w14:paraId="11788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测试一个,不用全部,加强理论,效果不变不跑,就是辅助,肯定审稿人</w:t>
      </w:r>
    </w:p>
    <w:p w14:paraId="57B250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2.3跟这一样,改方法,像肯定改了,但也说也是辅助的并着重强调核心假设未变，该方法仅为辅助手段，切忌全盘否定</w:t>
      </w:r>
    </w:p>
    <w:p w14:paraId="3DEF8B0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</w:t>
      </w:r>
    </w:p>
    <w:p w14:paraId="7296E7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副编辑3</w:t>
      </w:r>
    </w:p>
    <w:p w14:paraId="03FBFD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意图手动标注的,分开的</w:t>
      </w:r>
    </w:p>
    <w:p w14:paraId="2E6F1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身份保持那块公开自建,意图自建</w:t>
      </w:r>
    </w:p>
    <w:p w14:paraId="0531E08A">
      <w:pPr>
        <w:rPr>
          <w:rFonts w:hint="eastAsia"/>
          <w:lang w:val="en-US" w:eastAsia="zh-CN"/>
        </w:rPr>
      </w:pPr>
    </w:p>
    <w:p w14:paraId="5CB9DD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2.4跳过</w:t>
      </w:r>
    </w:p>
    <w:p w14:paraId="35E1CD0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</w:t>
      </w:r>
    </w:p>
    <w:p w14:paraId="59235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C:\Users\A\AppData\Local\Programs\Python\Python39\python.exe G:\lunwen_daima\DualGAN\baseline_comparison（GT）.py </w:t>
      </w:r>
    </w:p>
    <w:p w14:paraId="1778CB34">
      <w:pPr>
        <w:rPr>
          <w:rFonts w:hint="default"/>
          <w:lang w:val="en-US" w:eastAsia="zh-CN"/>
        </w:rPr>
      </w:pPr>
    </w:p>
    <w:p w14:paraId="71D90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[对比实验 v3] Device: cuda</w:t>
      </w:r>
    </w:p>
    <w:p w14:paraId="7BA5BA97">
      <w:pPr>
        <w:rPr>
          <w:rFonts w:hint="default"/>
          <w:lang w:val="en-US" w:eastAsia="zh-CN"/>
        </w:rPr>
      </w:pPr>
    </w:p>
    <w:p w14:paraId="1F187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加载数据集...</w:t>
      </w:r>
    </w:p>
    <w:p w14:paraId="24EE7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demo2_annotated.xlsx: 3 UAVs, 1547 rows</w:t>
      </w:r>
    </w:p>
    <w:p w14:paraId="779E1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demo33_annotated.xlsx: 3 UAVs, 2982 rows</w:t>
      </w:r>
    </w:p>
    <w:p w14:paraId="1BD65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DJI_720_annotated.xlsx: 3 UAVs, 2322 rows</w:t>
      </w:r>
    </w:p>
    <w:p w14:paraId="11AD0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DJI_720_annotated.xlsx: 3 UAVs, 2322 rows</w:t>
      </w:r>
    </w:p>
    <w:p w14:paraId="26266F1D">
      <w:pPr>
        <w:rPr>
          <w:rFonts w:hint="default"/>
          <w:lang w:val="en-US" w:eastAsia="zh-CN"/>
        </w:rPr>
      </w:pPr>
    </w:p>
    <w:p w14:paraId="79904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 w14:paraId="400BB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意图识别基线对比</w:t>
      </w:r>
    </w:p>
    <w:p w14:paraId="77CE9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 w14:paraId="0A4A0FB5">
      <w:pPr>
        <w:rPr>
          <w:rFonts w:hint="default"/>
          <w:lang w:val="en-US" w:eastAsia="zh-CN"/>
        </w:rPr>
      </w:pPr>
    </w:p>
    <w:p w14:paraId="66800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B1-MLP-FCN  (0.10M)...</w:t>
      </w:r>
    </w:p>
    <w:p w14:paraId="1CCE2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baseline_comparison_results\model_ckpts\B1_MLP_FCN.pt</w:t>
      </w:r>
    </w:p>
    <w:p w14:paraId="64AC3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acc=51.2%  F1=0.449  (0.2min)</w:t>
      </w:r>
    </w:p>
    <w:p w14:paraId="68BD2970">
      <w:pPr>
        <w:rPr>
          <w:rFonts w:hint="default"/>
          <w:lang w:val="en-US" w:eastAsia="zh-CN"/>
        </w:rPr>
      </w:pPr>
    </w:p>
    <w:p w14:paraId="6D881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B2-LSTM  (0.20M)...</w:t>
      </w:r>
    </w:p>
    <w:p w14:paraId="1B9CA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baseline_comparison_results\model_ckpts\B2_LSTM.pt</w:t>
      </w:r>
    </w:p>
    <w:p w14:paraId="68E45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acc=50.0%  F1=0.440  (0.2min)</w:t>
      </w:r>
    </w:p>
    <w:p w14:paraId="0925ABF5">
      <w:pPr>
        <w:rPr>
          <w:rFonts w:hint="default"/>
          <w:lang w:val="en-US" w:eastAsia="zh-CN"/>
        </w:rPr>
      </w:pPr>
    </w:p>
    <w:p w14:paraId="43955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B3-Transformer  (0.27M)...</w:t>
      </w:r>
    </w:p>
    <w:p w14:paraId="6B835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baseline_comparison_results\model_ckpts\B3_Transformer.pt</w:t>
      </w:r>
    </w:p>
    <w:p w14:paraId="33CDA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acc=42.9%  F1=0.378  (0.3min)</w:t>
      </w:r>
    </w:p>
    <w:p w14:paraId="3284AF15">
      <w:pPr>
        <w:rPr>
          <w:rFonts w:hint="default"/>
          <w:lang w:val="en-US" w:eastAsia="zh-CN"/>
        </w:rPr>
      </w:pPr>
    </w:p>
    <w:p w14:paraId="57786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B4-GRU-FCN  (0.17M)...</w:t>
      </w:r>
    </w:p>
    <w:p w14:paraId="0FDA0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baseline_comparison_results\model_ckpts\B4_GRU_FCN.pt</w:t>
      </w:r>
    </w:p>
    <w:p w14:paraId="43A27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acc=50.8%  F1=0.441  (0.2min)</w:t>
      </w:r>
    </w:p>
    <w:p w14:paraId="69BAFCF1">
      <w:pPr>
        <w:rPr>
          <w:rFonts w:hint="default"/>
          <w:lang w:val="en-US" w:eastAsia="zh-CN"/>
        </w:rPr>
      </w:pPr>
    </w:p>
    <w:p w14:paraId="5D579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B5-TCN  (0.20M)...</w:t>
      </w:r>
    </w:p>
    <w:p w14:paraId="1FAAD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baseline_comparison_results\model_ckpts\B5_TCN.pt</w:t>
      </w:r>
    </w:p>
    <w:p w14:paraId="4AB89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acc=72.2%  F1=0.587  (0.2min)</w:t>
      </w:r>
    </w:p>
    <w:p w14:paraId="2B0134D4">
      <w:pPr>
        <w:rPr>
          <w:rFonts w:hint="default"/>
          <w:lang w:val="en-US" w:eastAsia="zh-CN"/>
        </w:rPr>
      </w:pPr>
    </w:p>
    <w:p w14:paraId="58057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B6-PatchTST  (0.28M)...</w:t>
      </w:r>
    </w:p>
    <w:p w14:paraId="21E30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baseline_comparison_results\model_ckpts\B6_PatchTST.pt</w:t>
      </w:r>
    </w:p>
    <w:p w14:paraId="6C1DD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acc=70.7%  F1=0.588  (0.2min)</w:t>
      </w:r>
    </w:p>
    <w:p w14:paraId="3D62C7A4">
      <w:pPr>
        <w:rPr>
          <w:rFonts w:hint="default"/>
          <w:lang w:val="en-US" w:eastAsia="zh-CN"/>
        </w:rPr>
      </w:pPr>
    </w:p>
    <w:p w14:paraId="6724D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B7-TimesNet  (0.30M)...</w:t>
      </w:r>
    </w:p>
    <w:p w14:paraId="71A4D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baseline_comparison_results\model_ckpts\B7_TimesNet.pt</w:t>
      </w:r>
    </w:p>
    <w:p w14:paraId="7A32F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acc=68.9%  F1=0.539  (0.2min)</w:t>
      </w:r>
    </w:p>
    <w:p w14:paraId="0899BBD6">
      <w:pPr>
        <w:rPr>
          <w:rFonts w:hint="default"/>
          <w:lang w:val="en-US" w:eastAsia="zh-CN"/>
        </w:rPr>
      </w:pPr>
    </w:p>
    <w:p w14:paraId="73CA3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评估 DualStreamGAN (★)...</w:t>
      </w:r>
    </w:p>
    <w:p w14:paraId="353D0758">
      <w:pPr>
        <w:rPr>
          <w:rFonts w:hint="default"/>
          <w:lang w:val="en-US" w:eastAsia="zh-CN"/>
        </w:rPr>
      </w:pPr>
    </w:p>
    <w:p w14:paraId="62B3F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==========================================================================================</w:t>
      </w:r>
    </w:p>
    <w:p w14:paraId="6676E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意图识别对比结果（测试集）</w:t>
      </w:r>
    </w:p>
    <w:p w14:paraId="57952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==========================================================================================</w:t>
      </w:r>
    </w:p>
    <w:p w14:paraId="6FF8A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                    Params    Acc%   MacF1   F1-TK   F1-HV   F1-LD   F1-CR          Venue</w:t>
      </w:r>
    </w:p>
    <w:p w14:paraId="3069B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-----------------------------------------------------------------------------------------------</w:t>
      </w:r>
    </w:p>
    <w:p w14:paraId="4C91B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B1-MLP-FCN                 0.10M    51.2%   0.449   0.498   0.366   0.204   0.730       Baseline</w:t>
      </w:r>
    </w:p>
    <w:p w14:paraId="05966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B2-LSTM                    0.20M    50.0%   0.440   0.415   0.444   0.237   0.664    NeurComp'97</w:t>
      </w:r>
    </w:p>
    <w:p w14:paraId="28FF5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B3-Transformer             0.27M    42.9%   0.378   0.377   0.259   0.171   0.705     NeurIPS'17</w:t>
      </w:r>
    </w:p>
    <w:p w14:paraId="3FF83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B4-GRU-FCN                 0.17M    50.8%   0.441   0.400   0.437   0.208   0.720  IEEEAccess'19</w:t>
      </w:r>
    </w:p>
    <w:p w14:paraId="168FF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B5-TCN                     0.20M    72.2%   0.587   0.413   0.774   0.424   0.739       arXiv'18</w:t>
      </w:r>
    </w:p>
    <w:p w14:paraId="6545F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B6-PatchTST                0.28M    70.7%   0.588   0.457   0.759   0.428   0.710        ICLR'23</w:t>
      </w:r>
    </w:p>
    <w:p w14:paraId="16DBB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B7-TimesNet                0.30M    68.9%   0.539   0.293   0.742   0.414   0.708        ICLR'23</w:t>
      </w:r>
    </w:p>
    <w:p w14:paraId="49972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★-DualStreamGAN            0.56M    86.6%   0.861   0.850   0.891   0.873   0.829           Ours</w:t>
      </w:r>
    </w:p>
    <w:p w14:paraId="741B6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==========================================================================================</w:t>
      </w:r>
    </w:p>
    <w:p w14:paraId="4A93AFD1">
      <w:pPr>
        <w:rPr>
          <w:rFonts w:hint="default"/>
          <w:lang w:val="en-US" w:eastAsia="zh-CN"/>
        </w:rPr>
      </w:pPr>
    </w:p>
    <w:p w14:paraId="082BD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 w14:paraId="700A2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轨迹预测对比（多步 RMSE，输入：检测数据，真值：GT 文件）</w:t>
      </w:r>
    </w:p>
    <w:p w14:paraId="25DD8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 w14:paraId="7DC2EEB7">
      <w:pPr>
        <w:rPr>
          <w:rFonts w:hint="default"/>
          <w:lang w:val="en-US" w:eastAsia="zh-CN"/>
        </w:rPr>
      </w:pPr>
    </w:p>
    <w:p w14:paraId="6E055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传统方法（KF / EKF / UKF / SocialForce）基于检测输入（在线滤波）...</w:t>
      </w:r>
    </w:p>
    <w:p w14:paraId="6E3F4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KF              Step1=3.956  Step5=4.081  Step15=5.307</w:t>
      </w:r>
    </w:p>
    <w:p w14:paraId="0A34D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EKF             Step1=4.033  Step5=4.471  Step15=6.611</w:t>
      </w:r>
    </w:p>
    <w:p w14:paraId="52E64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UKF             Step1=4.033  Step5=4.131  Step15=5.258</w:t>
      </w:r>
    </w:p>
    <w:p w14:paraId="7173A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SocialForce     Step1=4.034  Step5=4.174  Step15=5.503</w:t>
      </w:r>
    </w:p>
    <w:p w14:paraId="53448FF3">
      <w:pPr>
        <w:rPr>
          <w:rFonts w:hint="default"/>
          <w:lang w:val="en-US" w:eastAsia="zh-CN"/>
        </w:rPr>
      </w:pPr>
    </w:p>
    <w:p w14:paraId="27046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Social-LSTM (CVPR'16)...</w:t>
      </w:r>
    </w:p>
    <w:p w14:paraId="3A524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baseline_comparison_results\model_ckpts\traj_Social_LSTM.pt</w:t>
      </w:r>
    </w:p>
    <w:p w14:paraId="08397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完成 (0.3min)  Step1=4.126  Step5=5.888  Step15=13.886</w:t>
      </w:r>
    </w:p>
    <w:p w14:paraId="42EC61B0">
      <w:pPr>
        <w:rPr>
          <w:rFonts w:hint="default"/>
          <w:lang w:val="en-US" w:eastAsia="zh-CN"/>
        </w:rPr>
      </w:pPr>
    </w:p>
    <w:p w14:paraId="3888E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GRIP (AAAI'20)...</w:t>
      </w:r>
    </w:p>
    <w:p w14:paraId="2F485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baseline_comparison_results\model_ckpts\traj_GRIP.pt</w:t>
      </w:r>
    </w:p>
    <w:p w14:paraId="3A030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完成 (0.2min)  Step1=4.254  Step5=5.642  Step15=13.280</w:t>
      </w:r>
    </w:p>
    <w:p w14:paraId="304F0988">
      <w:pPr>
        <w:rPr>
          <w:rFonts w:hint="default"/>
          <w:lang w:val="en-US" w:eastAsia="zh-CN"/>
        </w:rPr>
      </w:pPr>
    </w:p>
    <w:p w14:paraId="4A190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Social-STGCNN (CVPR'20)...</w:t>
      </w:r>
    </w:p>
    <w:p w14:paraId="190E7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baseline_comparison_results\model_ckpts\traj_Social_STGCNN.pt</w:t>
      </w:r>
    </w:p>
    <w:p w14:paraId="0D1F8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完成 (0.2min)  Step1=3.891  Step5=5.128  Step15=11.537</w:t>
      </w:r>
    </w:p>
    <w:p w14:paraId="2FBAE167">
      <w:pPr>
        <w:rPr>
          <w:rFonts w:hint="default"/>
          <w:lang w:val="en-US" w:eastAsia="zh-CN"/>
        </w:rPr>
      </w:pPr>
    </w:p>
    <w:p w14:paraId="32DFD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 MTP-GO-lite (TIVS'23)...</w:t>
      </w:r>
    </w:p>
    <w:p w14:paraId="124E8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[跳过] 加载: baseline_comparison_results\model_ckpts\traj_MTP_GO_lite.pt</w:t>
      </w:r>
    </w:p>
    <w:p w14:paraId="79B55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完成 (0.3min)  Step1=4.256  Step5=5.635  Step15=12.430</w:t>
      </w:r>
    </w:p>
    <w:p w14:paraId="1CFFAB9F">
      <w:pPr>
        <w:rPr>
          <w:rFonts w:hint="default"/>
          <w:lang w:val="en-US" w:eastAsia="zh-CN"/>
        </w:rPr>
      </w:pPr>
    </w:p>
    <w:p w14:paraId="56C86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评估 DualStreamGAN 轨迹预测 (★)...</w:t>
      </w:r>
    </w:p>
    <w:p w14:paraId="3DF08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Step1=3.956  Step5=4.122  Step15=3.933</w:t>
      </w:r>
    </w:p>
    <w:p w14:paraId="1A018CAA">
      <w:pPr>
        <w:rPr>
          <w:rFonts w:hint="default"/>
          <w:lang w:val="en-US" w:eastAsia="zh-CN"/>
        </w:rPr>
      </w:pPr>
    </w:p>
    <w:p w14:paraId="25729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==========================================================================================</w:t>
      </w:r>
    </w:p>
    <w:p w14:paraId="16F85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轨迹预测对比结果（平均RMSE，像素）</w:t>
      </w:r>
    </w:p>
    <w:p w14:paraId="25797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==========================================================================================</w:t>
      </w:r>
    </w:p>
    <w:p w14:paraId="6C358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                   S1       S3       S5       S8      S10      S15         Venue</w:t>
      </w:r>
    </w:p>
    <w:p w14:paraId="47BC7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--------------------------------------------------------------------------------------</w:t>
      </w:r>
    </w:p>
    <w:p w14:paraId="09C0D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KF                    3.956    4.000    4.081    4.299    4.516    5.307     Kalman'60</w:t>
      </w:r>
    </w:p>
    <w:p w14:paraId="1B605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EKF                   4.033    4.212    4.471    4.987    5.401    6.611   Extended KF</w:t>
      </w:r>
    </w:p>
    <w:p w14:paraId="319E7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UKF                   4.033    4.065    4.131    4.322    4.519    5.258  Unscented KF</w:t>
      </w:r>
    </w:p>
    <w:p w14:paraId="0CA94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SocialForce           4.034    4.082    4.174    4.430    4.670    5.503   SocialForce</w:t>
      </w:r>
    </w:p>
    <w:p w14:paraId="4C120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Social-LSTM           4.126    4.745    5.888    8.105    9.739   13.886       CVPR'16</w:t>
      </w:r>
    </w:p>
    <w:p w14:paraId="656CB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GRIP                  4.254    4.537    5.642    7.698    9.197   13.280       AAAI'20</w:t>
      </w:r>
    </w:p>
    <w:p w14:paraId="7B8B6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Social-STGCNN         3.891    4.272    5.128    6.874    8.180   11.537       CVPR'20</w:t>
      </w:r>
    </w:p>
    <w:p w14:paraId="2422F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MTP-GO-lite           4.256    4.714    5.635    7.487    8.831   12.430       TIVS'23</w:t>
      </w:r>
    </w:p>
    <w:p w14:paraId="0D4A2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★-DualStreamGAN       3.956    4.018    4.122    4.125    3.964    3.933          Ours</w:t>
      </w:r>
    </w:p>
    <w:p w14:paraId="709D5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</w:t>
      </w:r>
      <w:bookmarkStart w:id="0" w:name="_GoBack"/>
      <w:bookmarkEnd w:id="0"/>
      <w:r>
        <w:rPr>
          <w:rFonts w:hint="default"/>
          <w:lang w:val="en-US" w:eastAsia="zh-CN"/>
        </w:rPr>
        <w:t>==================</w:t>
      </w:r>
    </w:p>
    <w:p w14:paraId="1D66C5C5">
      <w:pPr>
        <w:rPr>
          <w:rFonts w:hint="default"/>
          <w:lang w:val="en-US" w:eastAsia="zh-CN"/>
        </w:rPr>
      </w:pPr>
    </w:p>
    <w:p w14:paraId="595F0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结果已保存至 → baseline_comparison_results/</w:t>
      </w:r>
    </w:p>
    <w:p w14:paraId="11811620">
      <w:pPr>
        <w:rPr>
          <w:rFonts w:hint="default"/>
          <w:lang w:val="en-US" w:eastAsia="zh-CN"/>
        </w:rPr>
      </w:pPr>
    </w:p>
    <w:p w14:paraId="51551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论文引用参考 ===</w:t>
      </w:r>
    </w:p>
    <w:p w14:paraId="4582F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[B3] Vaswani et al., 'Attention Is All You Need', NeurIPS 2017</w:t>
      </w:r>
    </w:p>
    <w:p w14:paraId="2D140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[B4] Karim et al., 'Multivariate LSTM-FCNs for Time Series Classification', IEEE Access 2019</w:t>
      </w:r>
    </w:p>
    <w:p w14:paraId="5B23C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[B5] Bai et al., 'An Empirical Evaluation of Generic Convolutional and Recurrent Networks', arXiv 2018</w:t>
      </w:r>
    </w:p>
    <w:p w14:paraId="59833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[B6] Nie et al., 'A Time Series is Worth 64 Words', ICLR 2023</w:t>
      </w:r>
    </w:p>
    <w:p w14:paraId="6C95C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[B7] Wu et al., 'TimesNet: Temporal 2D-Variation Modeling', ICLR 2023</w:t>
      </w:r>
    </w:p>
    <w:p w14:paraId="29038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[T3] Helbing &amp; Molnar, 'Social Force Model', Physical Review E 1995</w:t>
      </w:r>
    </w:p>
    <w:p w14:paraId="6F8A0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[T4] Alahi et al., 'Social LSTM', CVPR 2016</w:t>
      </w:r>
    </w:p>
    <w:p w14:paraId="24B76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[T5] Li et al., 'GRIP: Graph-based Interaction-aware Trajectory Prediction', AAAI 2020</w:t>
      </w:r>
    </w:p>
    <w:p w14:paraId="62E05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[T6] Mohamed et al., 'Social-STGCNN', CVPR 2020</w:t>
      </w:r>
    </w:p>
    <w:p w14:paraId="54654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[T7] Westny et al., 'MTP-GO: Graph-Based Probabilistic Multi-Agent Trajectory Prediction', IEEE T-IV 2023</w:t>
      </w:r>
    </w:p>
    <w:p w14:paraId="2C197BC8">
      <w:pPr>
        <w:rPr>
          <w:rFonts w:hint="default"/>
          <w:lang w:val="en-US" w:eastAsia="zh-CN"/>
        </w:rPr>
      </w:pPr>
    </w:p>
    <w:p w14:paraId="1128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 finished with exit code 0</w:t>
      </w:r>
    </w:p>
    <w:p w14:paraId="05020688">
      <w:pPr>
        <w:rPr>
          <w:rFonts w:hint="default"/>
          <w:lang w:val="en-US" w:eastAsia="zh-CN"/>
        </w:rPr>
      </w:pPr>
    </w:p>
    <w:p w14:paraId="59B8CB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FFFF"/>
          <w:kern w:val="0"/>
          <w:sz w:val="19"/>
          <w:szCs w:val="19"/>
          <w:lang w:val="en-US" w:eastAsia="zh-CN" w:bidi="ar"/>
        </w:rPr>
        <w:t xml:space="preserve">审稿人 </w:t>
      </w:r>
      <w:r>
        <w:rPr>
          <w:rFonts w:ascii="LMRoman10-Bold-Identity-H" w:hAnsi="LMRoman10-Bold-Identity-H" w:eastAsia="LMRoman10-Bold-Identity-H" w:cs="LMRoman10-Bold-Identity-H"/>
          <w:b/>
          <w:bCs/>
          <w:color w:val="FFFFFF"/>
          <w:kern w:val="0"/>
          <w:sz w:val="19"/>
          <w:szCs w:val="19"/>
          <w:lang w:val="en-US" w:eastAsia="zh-CN" w:bidi="ar"/>
        </w:rPr>
        <w:t xml:space="preserve">#2 </w:t>
      </w:r>
      <w:r>
        <w:rPr>
          <w:rFonts w:hint="eastAsia" w:ascii="宋体" w:hAnsi="宋体" w:eastAsia="宋体" w:cs="宋体"/>
          <w:color w:val="FFFFFF"/>
          <w:kern w:val="0"/>
          <w:sz w:val="19"/>
          <w:szCs w:val="19"/>
          <w:lang w:val="en-US" w:eastAsia="zh-CN" w:bidi="ar"/>
        </w:rPr>
        <w:t xml:space="preserve">—意见 </w:t>
      </w:r>
      <w:r>
        <w:rPr>
          <w:rFonts w:hint="default" w:ascii="LMRoman10-Bold-Identity-H" w:hAnsi="LMRoman10-Bold-Identity-H" w:eastAsia="LMRoman10-Bold-Identity-H" w:cs="LMRoman10-Bold-Identity-H"/>
          <w:b/>
          <w:bCs/>
          <w:color w:val="FFFFFF"/>
          <w:kern w:val="0"/>
          <w:sz w:val="19"/>
          <w:szCs w:val="19"/>
          <w:lang w:val="en-US" w:eastAsia="zh-CN" w:bidi="ar"/>
        </w:rPr>
        <w:t>#8</w:t>
      </w:r>
      <w:r>
        <w:rPr>
          <w:rFonts w:hint="eastAsia" w:ascii="宋体" w:hAnsi="宋体" w:eastAsia="宋体" w:cs="宋体"/>
          <w:color w:val="FFFFFF"/>
          <w:kern w:val="0"/>
          <w:sz w:val="19"/>
          <w:szCs w:val="19"/>
          <w:lang w:val="en-US" w:eastAsia="zh-CN" w:bidi="ar"/>
        </w:rPr>
        <w:t>（相关工作</w:t>
      </w:r>
    </w:p>
    <w:p w14:paraId="65601A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FFFF"/>
          <w:kern w:val="0"/>
          <w:sz w:val="19"/>
          <w:szCs w:val="19"/>
          <w:lang w:val="en-US" w:eastAsia="zh-CN" w:bidi="ar"/>
        </w:rPr>
        <w:t xml:space="preserve">审稿人 </w:t>
      </w:r>
      <w:r>
        <w:rPr>
          <w:rFonts w:ascii="LMRoman10-Bold-Identity-H" w:hAnsi="LMRoman10-Bold-Identity-H" w:eastAsia="LMRoman10-Bold-Identity-H" w:cs="LMRoman10-Bold-Identity-H"/>
          <w:b/>
          <w:bCs/>
          <w:color w:val="FFFFFF"/>
          <w:kern w:val="0"/>
          <w:sz w:val="19"/>
          <w:szCs w:val="19"/>
          <w:lang w:val="en-US" w:eastAsia="zh-CN" w:bidi="ar"/>
        </w:rPr>
        <w:t xml:space="preserve">#2 </w:t>
      </w:r>
      <w:r>
        <w:rPr>
          <w:rFonts w:hint="eastAsia" w:ascii="宋体" w:hAnsi="宋体" w:eastAsia="宋体" w:cs="宋体"/>
          <w:color w:val="FFFFFF"/>
          <w:kern w:val="0"/>
          <w:sz w:val="19"/>
          <w:szCs w:val="19"/>
          <w:lang w:val="en-US" w:eastAsia="zh-CN" w:bidi="ar"/>
        </w:rPr>
        <w:t xml:space="preserve">—意见 </w:t>
      </w:r>
      <w:r>
        <w:rPr>
          <w:rFonts w:hint="default" w:ascii="LMRoman10-Bold-Identity-H" w:hAnsi="LMRoman10-Bold-Identity-H" w:eastAsia="LMRoman10-Bold-Identity-H" w:cs="LMRoman10-Bold-Identity-H"/>
          <w:b/>
          <w:bCs/>
          <w:color w:val="FFFFFF"/>
          <w:kern w:val="0"/>
          <w:sz w:val="19"/>
          <w:szCs w:val="19"/>
          <w:lang w:val="en-US" w:eastAsia="zh-CN" w:bidi="ar"/>
        </w:rPr>
        <w:t>#8</w:t>
      </w:r>
      <w:r>
        <w:rPr>
          <w:rFonts w:hint="eastAsia" w:ascii="宋体" w:hAnsi="宋体" w:eastAsia="宋体" w:cs="宋体"/>
          <w:color w:val="FFFFFF"/>
          <w:kern w:val="0"/>
          <w:sz w:val="19"/>
          <w:szCs w:val="19"/>
          <w:lang w:val="en-US" w:eastAsia="zh-CN" w:bidi="ar"/>
        </w:rPr>
        <w:t>（相关工作</w:t>
      </w:r>
    </w:p>
    <w:p w14:paraId="5147175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2.8就是引言加入讨论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LMRoman10-Bold-Identity-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71884"/>
    <w:rsid w:val="75B7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2507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2026-07-10T13:54:00Z</dcterms:created>
  <dc:creator>平安</dc:creator>
  <cp:lastModifiedBy>平安</cp:lastModifiedBy>
  <dcterms:modified xsi:type="dcterms:W3CDTF">2026-07-12T07:42:45Z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DE09CB7EA50C4BDAA99343D3F7A624B8_11</vt:lpwstr>
  </property>
  <property fmtid="{D5CDD505-2E9C-101B-9397-08002B2CF9AE}" pid="4" name="KSOTemplateDocerSaveRecord">
    <vt:lpwstr>eyJoZGlkIjoiYWUyZGI0YTY2NGVhNjFkODBkZTBhNDE5MmU1YTRkMjciLCJ1c2VySWQiOiI5MTc5MjQ2ODMifQ==</vt:lpwstr>
  </property>
</Properties>
</file>