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B40" w:rsidRDefault="009019F3">
      <w:pPr>
        <w:rPr>
          <w:lang w:val="en-US"/>
        </w:rPr>
      </w:pPr>
      <w:r>
        <w:rPr>
          <w:lang w:val="en-US"/>
        </w:rPr>
        <w:t xml:space="preserve">Make domain models also persistence models? – dilemma. </w:t>
      </w:r>
    </w:p>
    <w:p w:rsidR="009019F3" w:rsidRPr="009019F3" w:rsidRDefault="009019F3">
      <w:pPr>
        <w:rPr>
          <w:lang w:val="en-US"/>
        </w:rPr>
      </w:pPr>
      <w:r>
        <w:rPr>
          <w:lang w:val="en-US"/>
        </w:rPr>
        <w:t>At start it seemed the best to put models representing entities in Core of the application but then the dilemma appeared. Since they were only ‘thin’ objects with no logic whatsoever they also fit well into persistence. There were two choices, either make separate domain and persistence models and use mapper to transform them as needed or just put models into persistence part of application. Considering small size of application and no further plans to scale it the obvious choice was to put them into persistence layer.</w:t>
      </w:r>
      <w:bookmarkStart w:id="0" w:name="_GoBack"/>
      <w:bookmarkEnd w:id="0"/>
    </w:p>
    <w:sectPr w:rsidR="009019F3" w:rsidRPr="00901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F3"/>
    <w:rsid w:val="0023272F"/>
    <w:rsid w:val="008A1087"/>
    <w:rsid w:val="009019F3"/>
    <w:rsid w:val="00F77B4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0852"/>
  <w15:chartTrackingRefBased/>
  <w15:docId w15:val="{3EE15110-9EA9-4CB7-BC1E-DFA9836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498</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Skorupa</dc:creator>
  <cp:keywords/>
  <dc:description/>
  <cp:lastModifiedBy>Krzysztof Skorupa</cp:lastModifiedBy>
  <cp:revision>1</cp:revision>
  <dcterms:created xsi:type="dcterms:W3CDTF">2017-08-30T21:04:00Z</dcterms:created>
  <dcterms:modified xsi:type="dcterms:W3CDTF">2017-08-30T21:08:00Z</dcterms:modified>
</cp:coreProperties>
</file>