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1F4E78"/>
            <w:tcMar>
              <w:top w:w="140" w:type="dxa"/>
              <w:start w:w="80" w:type="dxa"/>
              <w:bottom w:w="140" w:type="dxa"/>
              <w:end w:w="80" w:type="dxa"/>
            </w:tcMar>
          </w:tcPr>
          <w:p>
            <w:pPr>
              <w:jc w:val="center"/>
            </w:pPr>
            <w:r>
              <w:rPr>
                <w:rFonts w:ascii="Arial" w:hAnsi="Arial"/>
                <w:b/>
                <w:color w:val="FFFFFF"/>
                <w:sz w:val="32"/>
              </w:rPr>
              <w:t>MUNICIPALIDAD DE SARAPIQUÍ</w:t>
              <w:br/>
            </w:r>
            <w:r>
              <w:rPr>
                <w:rFonts w:ascii="Arial" w:hAnsi="Arial"/>
                <w:b/>
                <w:color w:val="FFFFFF"/>
                <w:sz w:val="24"/>
              </w:rPr>
              <w:t>AUDITORÍA Y ESPECIFICACIÓN FUNCIONAL</w:t>
              <w:br/>
            </w:r>
            <w:r>
              <w:rPr>
                <w:rFonts w:ascii="Arial" w:hAnsi="Arial"/>
                <w:b/>
                <w:color w:val="FFFFFF"/>
                <w:sz w:val="22"/>
              </w:rPr>
              <w:t>Módulo INFORMES · Submódulo MS_FBI_RD · Rectificación de Declaración del Bien Inmueble</w:t>
            </w:r>
          </w:p>
        </w:tc>
      </w:tr>
    </w:tbl>
    <w:p>
      <w:pPr>
        <w:spacing w:after="160"/>
        <w:jc w:val="center"/>
      </w:pPr>
      <w:r>
        <w:rPr>
          <w:rFonts w:ascii="Arial" w:hAnsi="Arial"/>
          <w:color w:val="666666"/>
          <w:sz w:val="16"/>
        </w:rPr>
        <w:t>Versión corregida: V2 · 23 de agosto de 2026</w:t>
      </w:r>
    </w:p>
    <w:p>
      <w:pPr>
        <w:spacing w:before="120" w:after="60"/>
      </w:pPr>
      <w:r>
        <w:rPr>
          <w:rFonts w:ascii="Arial" w:hAnsi="Arial"/>
          <w:b/>
          <w:color w:val="1F4E78"/>
          <w:sz w:val="26"/>
        </w:rPr>
        <w:t>1. Alcance, ubicación funcional y machotes oficiales de esta versión</w:t>
      </w:r>
    </w:p>
    <w:p>
      <w:pPr>
        <w:spacing w:after="60" w:line="240" w:lineRule="auto"/>
      </w:pPr>
      <w:r>
        <w:rPr>
          <w:rFonts w:ascii="Arial" w:hAnsi="Arial"/>
          <w:sz w:val="18"/>
        </w:rPr>
        <w:t>Para esta versión se consideran fuentes visuales y documentales definitivas los dos archivos entregados por el usuario. La ubicación funcional ya definida en la aplicación es el módulo INFORMES. El nombre “PRODUCTOS DE SALIDA” fue una sustitución errónea introducida posteriormente y debe descartarse. Desde INFORMES se mantienen exactamente dos salidas originadas en la fiscalización: (1) INFORME TÉCNICO + RESOLUCIÓN, como una misma salida documental compuesta, y (2) SOLICITUD DE RECTIFICACIÓN MS_FBI_RD, cuando corresponda. Esta auditoría no rediseña ni reabre la arquitectura ya acordada.</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shd w:fill="1F4E78"/>
            <w:tcMar>
              <w:top w:w="60" w:type="dxa"/>
              <w:start w:w="80" w:type="dxa"/>
              <w:bottom w:w="60" w:type="dxa"/>
              <w:end w:w="80" w:type="dxa"/>
            </w:tcMar>
          </w:tcPr>
          <w:p>
            <w:r>
              <w:rPr>
                <w:rFonts w:ascii="Arial" w:hAnsi="Arial"/>
                <w:b/>
                <w:color w:val="FFFFFF"/>
                <w:sz w:val="16"/>
              </w:rPr>
              <w:t>Machote</w:t>
            </w:r>
          </w:p>
        </w:tc>
        <w:tc>
          <w:tcPr>
            <w:tcW w:type="dxa" w:w="2592"/>
            <w:shd w:fill="1F4E78"/>
            <w:tcMar>
              <w:top w:w="60" w:type="dxa"/>
              <w:start w:w="80" w:type="dxa"/>
              <w:bottom w:w="60" w:type="dxa"/>
              <w:end w:w="80" w:type="dxa"/>
            </w:tcMar>
          </w:tcPr>
          <w:p>
            <w:r>
              <w:rPr>
                <w:rFonts w:ascii="Arial" w:hAnsi="Arial"/>
                <w:b/>
                <w:color w:val="FFFFFF"/>
                <w:sz w:val="16"/>
              </w:rPr>
              <w:t>Uso</w:t>
            </w:r>
          </w:p>
        </w:tc>
        <w:tc>
          <w:tcPr>
            <w:tcW w:type="dxa" w:w="2592"/>
            <w:shd w:fill="1F4E78"/>
            <w:tcMar>
              <w:top w:w="60" w:type="dxa"/>
              <w:start w:w="80" w:type="dxa"/>
              <w:bottom w:w="60" w:type="dxa"/>
              <w:end w:w="80" w:type="dxa"/>
            </w:tcMar>
          </w:tcPr>
          <w:p>
            <w:r>
              <w:rPr>
                <w:rFonts w:ascii="Arial" w:hAnsi="Arial"/>
                <w:b/>
                <w:color w:val="FFFFFF"/>
                <w:sz w:val="16"/>
              </w:rPr>
              <w:t>Identidad observada</w:t>
            </w:r>
          </w:p>
        </w:tc>
        <w:tc>
          <w:tcPr>
            <w:tcW w:type="dxa" w:w="2592"/>
            <w:shd w:fill="1F4E78"/>
            <w:tcMar>
              <w:top w:w="60" w:type="dxa"/>
              <w:start w:w="80" w:type="dxa"/>
              <w:bottom w:w="60" w:type="dxa"/>
              <w:end w:w="80" w:type="dxa"/>
            </w:tcMar>
          </w:tcPr>
          <w:p>
            <w:r>
              <w:rPr>
                <w:rFonts w:ascii="Arial" w:hAnsi="Arial"/>
                <w:b/>
                <w:color w:val="FFFFFF"/>
                <w:sz w:val="16"/>
              </w:rPr>
              <w:t>Regla para la aplicación</w:t>
            </w:r>
          </w:p>
        </w:tc>
      </w:tr>
      <w:tr>
        <w:tc>
          <w:tcPr>
            <w:tcW w:type="dxa" w:w="2592"/>
            <w:tcMar>
              <w:top w:w="60" w:type="dxa"/>
              <w:start w:w="80" w:type="dxa"/>
              <w:bottom w:w="60" w:type="dxa"/>
              <w:end w:w="80" w:type="dxa"/>
            </w:tcMar>
          </w:tcPr>
          <w:p>
            <w:r>
              <w:rPr>
                <w:rFonts w:ascii="Arial" w:hAnsi="Arial"/>
                <w:sz w:val="15"/>
              </w:rPr>
              <w:t>Informe_Fiscalizacion_V01_MACHOTE_FINAL.docx</w:t>
            </w:r>
          </w:p>
        </w:tc>
        <w:tc>
          <w:tcPr>
            <w:tcW w:type="dxa" w:w="2592"/>
            <w:tcMar>
              <w:top w:w="60" w:type="dxa"/>
              <w:start w:w="80" w:type="dxa"/>
              <w:bottom w:w="60" w:type="dxa"/>
              <w:end w:w="80" w:type="dxa"/>
            </w:tcMar>
          </w:tcPr>
          <w:p>
            <w:r>
              <w:rPr>
                <w:rFonts w:ascii="Arial" w:hAnsi="Arial"/>
                <w:sz w:val="15"/>
              </w:rPr>
              <w:t>Informe técnico de inspección + resolución administrativa</w:t>
            </w:r>
          </w:p>
        </w:tc>
        <w:tc>
          <w:tcPr>
            <w:tcW w:type="dxa" w:w="2592"/>
            <w:tcMar>
              <w:top w:w="60" w:type="dxa"/>
              <w:start w:w="80" w:type="dxa"/>
              <w:bottom w:w="60" w:type="dxa"/>
              <w:end w:w="80" w:type="dxa"/>
            </w:tcMar>
          </w:tcPr>
          <w:p>
            <w:r>
              <w:rPr>
                <w:rFonts w:ascii="Arial" w:hAnsi="Arial"/>
                <w:sz w:val="15"/>
              </w:rPr>
              <w:t>Código BI-001 · Versión 1.0 · Julio 2026</w:t>
            </w:r>
          </w:p>
        </w:tc>
        <w:tc>
          <w:tcPr>
            <w:tcW w:type="dxa" w:w="2592"/>
            <w:tcMar>
              <w:top w:w="60" w:type="dxa"/>
              <w:start w:w="80" w:type="dxa"/>
              <w:bottom w:w="60" w:type="dxa"/>
              <w:end w:w="80" w:type="dxa"/>
            </w:tcMar>
          </w:tcPr>
          <w:p>
            <w:r>
              <w:rPr>
                <w:rFonts w:ascii="Arial" w:hAnsi="Arial"/>
                <w:sz w:val="15"/>
              </w:rPr>
              <w:t>Conservar como master final de fiscalización de esta versión.</w:t>
            </w:r>
          </w:p>
        </w:tc>
      </w:tr>
      <w:tr>
        <w:tc>
          <w:tcPr>
            <w:tcW w:type="dxa" w:w="2592"/>
            <w:tcMar>
              <w:top w:w="60" w:type="dxa"/>
              <w:start w:w="80" w:type="dxa"/>
              <w:bottom w:w="60" w:type="dxa"/>
              <w:end w:w="80" w:type="dxa"/>
            </w:tcMar>
          </w:tcPr>
          <w:p>
            <w:r>
              <w:rPr>
                <w:rFonts w:ascii="Arial" w:hAnsi="Arial"/>
                <w:sz w:val="15"/>
              </w:rPr>
              <w:t>MS-FBI-RD-01-2026_RECTIFICACION_FINAL.docx</w:t>
            </w:r>
          </w:p>
        </w:tc>
        <w:tc>
          <w:tcPr>
            <w:tcW w:type="dxa" w:w="2592"/>
            <w:tcMar>
              <w:top w:w="60" w:type="dxa"/>
              <w:start w:w="80" w:type="dxa"/>
              <w:bottom w:w="60" w:type="dxa"/>
              <w:end w:w="80" w:type="dxa"/>
            </w:tcMar>
          </w:tcPr>
          <w:p>
            <w:r>
              <w:rPr>
                <w:rFonts w:ascii="Arial" w:hAnsi="Arial"/>
                <w:sz w:val="15"/>
              </w:rPr>
              <w:t>Presentación de rectificación de declaración</w:t>
            </w:r>
          </w:p>
        </w:tc>
        <w:tc>
          <w:tcPr>
            <w:tcW w:type="dxa" w:w="2592"/>
            <w:tcMar>
              <w:top w:w="60" w:type="dxa"/>
              <w:start w:w="80" w:type="dxa"/>
              <w:bottom w:w="60" w:type="dxa"/>
              <w:end w:w="80" w:type="dxa"/>
            </w:tcMar>
          </w:tcPr>
          <w:p>
            <w:r>
              <w:rPr>
                <w:rFonts w:ascii="Arial" w:hAnsi="Arial"/>
                <w:sz w:val="15"/>
              </w:rPr>
              <w:t>Código BI-001 · Versión 1.0 · Julio 2026 · oficio impreso MS-DFBI-RD-01-2026</w:t>
            </w:r>
          </w:p>
        </w:tc>
        <w:tc>
          <w:tcPr>
            <w:tcW w:type="dxa" w:w="2592"/>
            <w:tcMar>
              <w:top w:w="60" w:type="dxa"/>
              <w:start w:w="80" w:type="dxa"/>
              <w:bottom w:w="60" w:type="dxa"/>
              <w:end w:w="80" w:type="dxa"/>
            </w:tcMar>
          </w:tcPr>
          <w:p>
            <w:r>
              <w:rPr>
                <w:rFonts w:ascii="Arial" w:hAnsi="Arial"/>
                <w:sz w:val="15"/>
              </w:rPr>
              <w:t>Usar como master visual de MS_FBI_RD; los datos del caso deben inyectarse dinámicamente.</w:t>
            </w:r>
          </w:p>
        </w:tc>
      </w:tr>
    </w:tbl>
    <w:p>
      <w:pPr>
        <w:spacing w:before="120" w:after="60"/>
      </w:pPr>
      <w:r>
        <w:rPr>
          <w:rFonts w:ascii="Arial" w:hAnsi="Arial"/>
          <w:b/>
          <w:color w:val="1F4E78"/>
          <w:sz w:val="26"/>
        </w:rPr>
        <w:t>2. Resultado de la auditoría</w:t>
      </w:r>
    </w:p>
    <w:p>
      <w:pPr>
        <w:spacing w:after="60" w:line="240" w:lineRule="auto"/>
      </w:pPr>
      <w:r>
        <w:rPr>
          <w:rFonts w:ascii="Arial" w:hAnsi="Arial"/>
          <w:sz w:val="18"/>
        </w:rPr>
        <w:t>A-00 · Arquitectura/nomenclatura ya definida: mantener el módulo INFORMES. Dentro de INFORMES existen dos salidas generadas desde la fiscalización: SALIDA 1 = INFORME TÉCNICO + RESOLUCIÓN; SALIDA 2 = SOLICITUD DE RECTIFICACIÓN MS_FBI_RD. No renombrar INFORMES como PRODUCTOS DE SALIDA y no crear una tercera salida ni reestructurar el flujo ya acordado.</w:t>
      </w:r>
    </w:p>
    <w:p>
      <w:pPr>
        <w:spacing w:after="60"/>
      </w:pPr>
      <w:r>
        <w:rPr>
          <w:rFonts w:ascii="Arial" w:hAnsi="Arial"/>
          <w:b/>
          <w:color w:val="1F4E78"/>
          <w:sz w:val="17"/>
        </w:rPr>
        <w:t xml:space="preserve">A-01 · Nomenclatura: </w:t>
      </w:r>
      <w:r>
        <w:rPr>
          <w:rFonts w:ascii="Arial" w:hAnsi="Arial"/>
          <w:sz w:val="17"/>
        </w:rPr>
        <w:t>Existe una diferencia que debe resolverse antes de automatizar la numeración: el nombre solicitado/archivo usa “MS-FBI-RD”, mientras que el oficio impreso del machote final usa “MS-DFBI-RD-01-2026”. Recomendación: mantener el identificador interno del submódulo como MS_FBI_RD y parametrizar el prefijo oficial; no cambiar el texto impreso hasta que se confirme cuál es el prefijo normativo.</w:t>
      </w:r>
    </w:p>
    <w:p>
      <w:pPr>
        <w:spacing w:after="60"/>
      </w:pPr>
      <w:r>
        <w:rPr>
          <w:rFonts w:ascii="Arial" w:hAnsi="Arial"/>
          <w:b/>
          <w:color w:val="1F4E78"/>
          <w:sz w:val="17"/>
        </w:rPr>
        <w:t xml:space="preserve">A-02 · Datos de ejemplo: </w:t>
      </w:r>
      <w:r>
        <w:rPr>
          <w:rFonts w:ascii="Arial" w:hAnsi="Arial"/>
          <w:sz w:val="17"/>
        </w:rPr>
        <w:t>El machote de rectificación contiene valores concretos de propietario, contacto e inmueble. Esos valores no deben quedar como defaults de la aplicación. El master de aplicación adjunto a esta auditoría los sustituye por tokens.</w:t>
      </w:r>
    </w:p>
    <w:p>
      <w:pPr>
        <w:spacing w:after="60"/>
      </w:pPr>
      <w:r>
        <w:rPr>
          <w:rFonts w:ascii="Arial" w:hAnsi="Arial"/>
          <w:b/>
          <w:color w:val="1F4E78"/>
          <w:sz w:val="17"/>
        </w:rPr>
        <w:t xml:space="preserve">A-03 · Plantilla no parametrizada: </w:t>
      </w:r>
      <w:r>
        <w:rPr>
          <w:rFonts w:ascii="Arial" w:hAnsi="Arial"/>
          <w:sz w:val="17"/>
        </w:rPr>
        <w:t>Los DOCX finales no contienen MERGEFIELD ni controles de contenido Word. Para generar documentos de forma segura se requiere una capa de plantillas basada en tokens o una manipulación OOXML/celdas controlada.</w:t>
      </w:r>
    </w:p>
    <w:p>
      <w:pPr>
        <w:spacing w:after="60"/>
      </w:pPr>
      <w:r>
        <w:rPr>
          <w:rFonts w:ascii="Arial" w:hAnsi="Arial"/>
          <w:b/>
          <w:color w:val="1F4E78"/>
          <w:sz w:val="17"/>
        </w:rPr>
        <w:t xml:space="preserve">A-04 · Cierre de fiscalización: </w:t>
      </w:r>
      <w:r>
        <w:rPr>
          <w:rFonts w:ascii="Arial" w:hAnsi="Arial"/>
          <w:sz w:val="17"/>
        </w:rPr>
        <w:t>El informe de fiscalización entregado puede mostrar “RESULTADO PENDIENTE” y criterios aún pendientes. La aplicación debe impedir que un caso se dé por resuelto si no se han completado los criterios que determinan el resultado.</w:t>
      </w:r>
    </w:p>
    <w:p>
      <w:pPr>
        <w:spacing w:after="60"/>
      </w:pPr>
      <w:r>
        <w:rPr>
          <w:rFonts w:ascii="Arial" w:hAnsi="Arial"/>
          <w:b/>
          <w:color w:val="1F4E78"/>
          <w:sz w:val="17"/>
        </w:rPr>
        <w:t xml:space="preserve">A-05 · Plazo de rectificación: </w:t>
      </w:r>
      <w:r>
        <w:rPr>
          <w:rFonts w:ascii="Arial" w:hAnsi="Arial"/>
          <w:sz w:val="17"/>
        </w:rPr>
        <w:t>El machote indica un plazo máximo de diez días a partir de la entrega de la notificación y menciona la valoración de oficio en caso de incumplimiento. Debe registrarse la fecha real de notificación. No conviene calcular automáticamente el vencimiento como días naturales o hábiles hasta que esa regla administrativa quede definida en la aplicación.</w:t>
      </w:r>
    </w:p>
    <w:p>
      <w:pPr>
        <w:spacing w:after="60"/>
      </w:pPr>
      <w:r>
        <w:rPr>
          <w:rFonts w:ascii="Arial" w:hAnsi="Arial"/>
          <w:b/>
          <w:color w:val="1F4E78"/>
          <w:sz w:val="17"/>
        </w:rPr>
        <w:t xml:space="preserve">A-06 · Cantidad de inmuebles/motivos: </w:t>
      </w:r>
      <w:r>
        <w:rPr>
          <w:rFonts w:ascii="Arial" w:hAnsi="Arial"/>
          <w:sz w:val="17"/>
        </w:rPr>
        <w:t>El texto habla de propiedades en plural, pero la composición visual muestra una fila principal de inmueble y dos filas de objeto/motivo. El submódulo debe soportar listas repetibles y reglas de paginación sin deformar el machote.</w:t>
      </w:r>
    </w:p>
    <w:p>
      <w:pPr>
        <w:spacing w:after="60"/>
      </w:pPr>
      <w:r>
        <w:rPr>
          <w:rFonts w:ascii="Arial" w:hAnsi="Arial"/>
          <w:b/>
          <w:color w:val="1F4E78"/>
          <w:sz w:val="17"/>
        </w:rPr>
        <w:t xml:space="preserve">A-07 · Firmas e identidad del perito: </w:t>
      </w:r>
      <w:r>
        <w:rPr>
          <w:rFonts w:ascii="Arial" w:hAnsi="Arial"/>
          <w:sz w:val="17"/>
        </w:rPr>
        <w:t>El pie del machote contempla firma del perito, notificador y receptor. Además, la composición visual incorpora un bloque gráfico personal del funcionario. Debe definirse si ese bloque es institucional fijo o si debe variar según el perito que emite.</w:t>
      </w:r>
    </w:p>
    <w:p>
      <w:pPr>
        <w:spacing w:after="60"/>
      </w:pPr>
      <w:r>
        <w:rPr>
          <w:rFonts w:ascii="Arial" w:hAnsi="Arial"/>
          <w:b/>
          <w:color w:val="1F4E78"/>
          <w:sz w:val="17"/>
        </w:rPr>
        <w:t xml:space="preserve">A-08 · Formatos de fecha: </w:t>
      </w:r>
      <w:r>
        <w:rPr>
          <w:rFonts w:ascii="Arial" w:hAnsi="Arial"/>
          <w:sz w:val="17"/>
        </w:rPr>
        <w:t>Los machotes usan distintos formatos de fecha según el contexto. La aplicación debe guardar fechas normalizadas y aplicar la máscara de presentación correspondiente a cada documento, sin forzar un único formato visual.</w:t>
      </w:r>
    </w:p>
    <w:p>
      <w:pPr>
        <w:spacing w:before="120" w:after="60"/>
      </w:pPr>
      <w:r>
        <w:rPr>
          <w:rFonts w:ascii="Arial" w:hAnsi="Arial"/>
          <w:b/>
          <w:color w:val="1F4E78"/>
          <w:sz w:val="26"/>
        </w:rPr>
        <w:t>3. Solicitud funcional del submódulo MS_FBI_RD dentro de INFORMES</w:t>
      </w:r>
    </w:p>
    <w:p>
      <w:pPr>
        <w:spacing w:after="60" w:line="240" w:lineRule="auto"/>
      </w:pPr>
      <w:r>
        <w:rPr>
          <w:rFonts w:ascii="Arial" w:hAnsi="Arial"/>
          <w:sz w:val="18"/>
        </w:rPr>
        <w:t>Objetivo: crear dentro del módulo INFORMES de la aplicación el submódulo MS_FBI_RD, vinculado al expediente de fiscalización, capaz de preparar, emitir, almacenar y dar seguimiento al oficio de presentación de rectificación usando el machote final suministrado. No se crea ni se renombra el módulo principal; se conserva INFORMES.</w:t>
      </w:r>
    </w:p>
    <w:p>
      <w:pPr>
        <w:pStyle w:val="ListBullet"/>
        <w:spacing w:after="30"/>
      </w:pPr>
      <w:r>
        <w:rPr>
          <w:rFonts w:ascii="Arial" w:hAnsi="Arial"/>
          <w:sz w:val="17"/>
        </w:rPr>
        <w:t>Ubicación funcional ya definida: módulo INFORMES. La fiscalización alimenta las dos salidas existentes: INFORME TÉCNICO + RESOLUCIÓN y, cuando corresponda, SOLICITUD DE RECTIFICACIÓN MS_FBI_RD.</w:t>
      </w:r>
    </w:p>
    <w:p>
      <w:pPr>
        <w:pStyle w:val="ListBullet"/>
        <w:spacing w:after="30"/>
      </w:pPr>
      <w:r>
        <w:rPr>
          <w:rFonts w:ascii="Arial" w:hAnsi="Arial"/>
          <w:sz w:val="17"/>
        </w:rPr>
        <w:t>Permitir abrir el submódulo desde un expediente de fiscalización para reutilizar propietario, inmueble y antecedentes sin recaptura.</w:t>
      </w:r>
    </w:p>
    <w:p>
      <w:pPr>
        <w:pStyle w:val="ListBullet"/>
        <w:spacing w:after="30"/>
      </w:pPr>
      <w:r>
        <w:rPr>
          <w:rFonts w:ascii="Arial" w:hAnsi="Arial"/>
          <w:sz w:val="17"/>
        </w:rPr>
        <w:t>Precargar los datos del propietario y de la finca desde el expediente/registro disponible; permitir corrección solo a usuarios autorizados.</w:t>
      </w:r>
    </w:p>
    <w:p>
      <w:pPr>
        <w:pStyle w:val="ListBullet"/>
        <w:spacing w:after="30"/>
      </w:pPr>
      <w:r>
        <w:rPr>
          <w:rFonts w:ascii="Arial" w:hAnsi="Arial"/>
          <w:sz w:val="17"/>
        </w:rPr>
        <w:t>Permitir seleccionar uno o más objetos de rechazo: TERRENO, CONSTRUCCIÓN y USO (AGO), con un resumen de motivo obligatorio por cada objeto seleccionado.</w:t>
      </w:r>
    </w:p>
    <w:p>
      <w:pPr>
        <w:pStyle w:val="ListBullet"/>
        <w:spacing w:after="30"/>
      </w:pPr>
      <w:r>
        <w:rPr>
          <w:rFonts w:ascii="Arial" w:hAnsi="Arial"/>
          <w:sz w:val="17"/>
        </w:rPr>
        <w:t>Asignar un número de oficio único y anual mediante un prefijo configurable.</w:t>
      </w:r>
    </w:p>
    <w:p>
      <w:pPr>
        <w:pStyle w:val="ListBullet"/>
        <w:spacing w:after="30"/>
      </w:pPr>
      <w:r>
        <w:rPr>
          <w:rFonts w:ascii="Arial" w:hAnsi="Arial"/>
          <w:sz w:val="17"/>
        </w:rPr>
        <w:t>Generar el DOCX a partir del machote definitivo; ofrecer vista previa antes de emitir y, si la aplicación ya dispone de motor PDF, generar también la salida PDF desde el mismo documento.</w:t>
      </w:r>
    </w:p>
    <w:p>
      <w:pPr>
        <w:pStyle w:val="ListBullet"/>
        <w:spacing w:after="30"/>
      </w:pPr>
      <w:r>
        <w:rPr>
          <w:rFonts w:ascii="Arial" w:hAnsi="Arial"/>
          <w:sz w:val="17"/>
        </w:rPr>
        <w:t>Registrar emisor/perito, fecha de emisión, notificador, persona que recibe, fecha real de notificación y observaciones.</w:t>
      </w:r>
    </w:p>
    <w:p>
      <w:pPr>
        <w:pStyle w:val="ListBullet"/>
        <w:spacing w:after="30"/>
      </w:pPr>
      <w:r>
        <w:rPr>
          <w:rFonts w:ascii="Arial" w:hAnsi="Arial"/>
          <w:sz w:val="17"/>
        </w:rPr>
        <w:t>Conservar una copia inmutable del documento emitido y la versión exacta del machote con que se generó.</w:t>
      </w:r>
    </w:p>
    <w:p>
      <w:pPr>
        <w:pStyle w:val="ListBullet"/>
        <w:spacing w:after="30"/>
      </w:pPr>
      <w:r>
        <w:rPr>
          <w:rFonts w:ascii="Arial" w:hAnsi="Arial"/>
          <w:sz w:val="17"/>
        </w:rPr>
        <w:t>Registrar trazabilidad de creación, edición, emisión, reimpresión, anulación y cambios de estado.</w:t>
      </w:r>
    </w:p>
    <w:p>
      <w:pPr>
        <w:spacing w:before="120" w:after="60"/>
      </w:pPr>
      <w:r>
        <w:rPr>
          <w:rFonts w:ascii="Arial" w:hAnsi="Arial"/>
          <w:b/>
          <w:color w:val="1F4E78"/>
          <w:sz w:val="26"/>
        </w:rPr>
        <w:t>4. Flujo propuesto</w:t>
      </w:r>
    </w:p>
    <w:tbl>
      <w:tblPr>
        <w:tblW w:type="auto" w:w="0"/>
        <w:jc w:val="center"/>
        <w:tblLook w:firstColumn="1" w:firstRow="1" w:lastColumn="0" w:lastRow="0" w:noHBand="0" w:noVBand="1" w:val="04A0"/>
      </w:tblPr>
      <w:tblGrid>
        <w:gridCol w:w="2592"/>
        <w:gridCol w:w="2592"/>
        <w:gridCol w:w="2592"/>
        <w:gridCol w:w="2592"/>
      </w:tblGrid>
      <w:tr>
        <w:tc>
          <w:tcPr>
            <w:tcW w:type="dxa" w:w="2592"/>
            <w:shd w:fill="2E7D32"/>
            <w:tcMar>
              <w:top w:w="60" w:type="dxa"/>
              <w:start w:w="80" w:type="dxa"/>
              <w:bottom w:w="60" w:type="dxa"/>
              <w:end w:w="80" w:type="dxa"/>
            </w:tcMar>
          </w:tcPr>
          <w:p>
            <w:r>
              <w:rPr>
                <w:rFonts w:ascii="Arial" w:hAnsi="Arial"/>
                <w:b/>
                <w:color w:val="FFFFFF"/>
                <w:sz w:val="16"/>
              </w:rPr>
              <w:t>Paso</w:t>
            </w:r>
          </w:p>
        </w:tc>
        <w:tc>
          <w:tcPr>
            <w:tcW w:type="dxa" w:w="2592"/>
            <w:shd w:fill="2E7D32"/>
            <w:tcMar>
              <w:top w:w="60" w:type="dxa"/>
              <w:start w:w="80" w:type="dxa"/>
              <w:bottom w:w="60" w:type="dxa"/>
              <w:end w:w="80" w:type="dxa"/>
            </w:tcMar>
          </w:tcPr>
          <w:p>
            <w:r>
              <w:rPr>
                <w:rFonts w:ascii="Arial" w:hAnsi="Arial"/>
                <w:b/>
                <w:color w:val="FFFFFF"/>
                <w:sz w:val="16"/>
              </w:rPr>
              <w:t>Acción</w:t>
            </w:r>
          </w:p>
        </w:tc>
        <w:tc>
          <w:tcPr>
            <w:tcW w:type="dxa" w:w="2592"/>
            <w:shd w:fill="2E7D32"/>
            <w:tcMar>
              <w:top w:w="60" w:type="dxa"/>
              <w:start w:w="80" w:type="dxa"/>
              <w:bottom w:w="60" w:type="dxa"/>
              <w:end w:w="80" w:type="dxa"/>
            </w:tcMar>
          </w:tcPr>
          <w:p>
            <w:r>
              <w:rPr>
                <w:rFonts w:ascii="Arial" w:hAnsi="Arial"/>
                <w:b/>
                <w:color w:val="FFFFFF"/>
                <w:sz w:val="16"/>
              </w:rPr>
              <w:t>Control</w:t>
            </w:r>
          </w:p>
        </w:tc>
        <w:tc>
          <w:tcPr>
            <w:tcW w:type="dxa" w:w="2592"/>
            <w:shd w:fill="2E7D32"/>
            <w:tcMar>
              <w:top w:w="60" w:type="dxa"/>
              <w:start w:w="80" w:type="dxa"/>
              <w:bottom w:w="60" w:type="dxa"/>
              <w:end w:w="80" w:type="dxa"/>
            </w:tcMar>
          </w:tcPr>
          <w:p>
            <w:r>
              <w:rPr>
                <w:rFonts w:ascii="Arial" w:hAnsi="Arial"/>
                <w:b/>
                <w:color w:val="FFFFFF"/>
                <w:sz w:val="16"/>
              </w:rPr>
              <w:t>Resultado</w:t>
            </w:r>
          </w:p>
        </w:tc>
      </w:tr>
      <w:tr>
        <w:tc>
          <w:tcPr>
            <w:tcW w:type="dxa" w:w="2592"/>
            <w:tcMar>
              <w:top w:w="60" w:type="dxa"/>
              <w:start w:w="80" w:type="dxa"/>
              <w:bottom w:w="60" w:type="dxa"/>
              <w:end w:w="80" w:type="dxa"/>
            </w:tcMar>
          </w:tcPr>
          <w:p>
            <w:r>
              <w:rPr>
                <w:rFonts w:ascii="Arial" w:hAnsi="Arial"/>
                <w:sz w:val="14"/>
              </w:rPr>
              <w:t>1</w:t>
            </w:r>
          </w:p>
        </w:tc>
        <w:tc>
          <w:tcPr>
            <w:tcW w:type="dxa" w:w="2592"/>
            <w:tcMar>
              <w:top w:w="60" w:type="dxa"/>
              <w:start w:w="80" w:type="dxa"/>
              <w:bottom w:w="60" w:type="dxa"/>
              <w:end w:w="80" w:type="dxa"/>
            </w:tcMar>
          </w:tcPr>
          <w:p>
            <w:r>
              <w:rPr>
                <w:rFonts w:ascii="Arial" w:hAnsi="Arial"/>
                <w:sz w:val="14"/>
              </w:rPr>
              <w:t>Abrir expediente de fiscalización</w:t>
            </w:r>
          </w:p>
        </w:tc>
        <w:tc>
          <w:tcPr>
            <w:tcW w:type="dxa" w:w="2592"/>
            <w:tcMar>
              <w:top w:w="60" w:type="dxa"/>
              <w:start w:w="80" w:type="dxa"/>
              <w:bottom w:w="60" w:type="dxa"/>
              <w:end w:w="80" w:type="dxa"/>
            </w:tcMar>
          </w:tcPr>
          <w:p>
            <w:r>
              <w:rPr>
                <w:rFonts w:ascii="Arial" w:hAnsi="Arial"/>
                <w:sz w:val="14"/>
              </w:rPr>
              <w:t>Expediente válido y usuario con permiso</w:t>
            </w:r>
          </w:p>
        </w:tc>
        <w:tc>
          <w:tcPr>
            <w:tcW w:type="dxa" w:w="2592"/>
            <w:tcMar>
              <w:top w:w="60" w:type="dxa"/>
              <w:start w:w="80" w:type="dxa"/>
              <w:bottom w:w="60" w:type="dxa"/>
              <w:end w:w="80" w:type="dxa"/>
            </w:tcMar>
          </w:tcPr>
          <w:p>
            <w:r>
              <w:rPr>
                <w:rFonts w:ascii="Arial" w:hAnsi="Arial"/>
                <w:sz w:val="14"/>
              </w:rPr>
              <w:t>Datos base precargados</w:t>
            </w:r>
          </w:p>
        </w:tc>
      </w:tr>
      <w:tr>
        <w:tc>
          <w:tcPr>
            <w:tcW w:type="dxa" w:w="2592"/>
            <w:tcMar>
              <w:top w:w="60" w:type="dxa"/>
              <w:start w:w="80" w:type="dxa"/>
              <w:bottom w:w="60" w:type="dxa"/>
              <w:end w:w="80" w:type="dxa"/>
            </w:tcMar>
          </w:tcPr>
          <w:p>
            <w:r>
              <w:rPr>
                <w:rFonts w:ascii="Arial" w:hAnsi="Arial"/>
                <w:sz w:val="14"/>
              </w:rPr>
              <w:t>2</w:t>
            </w:r>
          </w:p>
        </w:tc>
        <w:tc>
          <w:tcPr>
            <w:tcW w:type="dxa" w:w="2592"/>
            <w:tcMar>
              <w:top w:w="60" w:type="dxa"/>
              <w:start w:w="80" w:type="dxa"/>
              <w:bottom w:w="60" w:type="dxa"/>
              <w:end w:w="80" w:type="dxa"/>
            </w:tcMar>
          </w:tcPr>
          <w:p>
            <w:r>
              <w:rPr>
                <w:rFonts w:ascii="Arial" w:hAnsi="Arial"/>
                <w:sz w:val="14"/>
              </w:rPr>
              <w:t>Crear rectificación</w:t>
            </w:r>
          </w:p>
        </w:tc>
        <w:tc>
          <w:tcPr>
            <w:tcW w:type="dxa" w:w="2592"/>
            <w:tcMar>
              <w:top w:w="60" w:type="dxa"/>
              <w:start w:w="80" w:type="dxa"/>
              <w:bottom w:w="60" w:type="dxa"/>
              <w:end w:w="80" w:type="dxa"/>
            </w:tcMar>
          </w:tcPr>
          <w:p>
            <w:r>
              <w:rPr>
                <w:rFonts w:ascii="Arial" w:hAnsi="Arial"/>
                <w:sz w:val="14"/>
              </w:rPr>
              <w:t>No debe existir otro borrador activo equivalente, salvo política definida</w:t>
            </w:r>
          </w:p>
        </w:tc>
        <w:tc>
          <w:tcPr>
            <w:tcW w:type="dxa" w:w="2592"/>
            <w:tcMar>
              <w:top w:w="60" w:type="dxa"/>
              <w:start w:w="80" w:type="dxa"/>
              <w:bottom w:w="60" w:type="dxa"/>
              <w:end w:w="80" w:type="dxa"/>
            </w:tcMar>
          </w:tcPr>
          <w:p>
            <w:r>
              <w:rPr>
                <w:rFonts w:ascii="Arial" w:hAnsi="Arial"/>
                <w:sz w:val="14"/>
              </w:rPr>
              <w:t>Registro en estado BORRADOR</w:t>
            </w:r>
          </w:p>
        </w:tc>
      </w:tr>
      <w:tr>
        <w:tc>
          <w:tcPr>
            <w:tcW w:type="dxa" w:w="2592"/>
            <w:tcMar>
              <w:top w:w="60" w:type="dxa"/>
              <w:start w:w="80" w:type="dxa"/>
              <w:bottom w:w="60" w:type="dxa"/>
              <w:end w:w="80" w:type="dxa"/>
            </w:tcMar>
          </w:tcPr>
          <w:p>
            <w:r>
              <w:rPr>
                <w:rFonts w:ascii="Arial" w:hAnsi="Arial"/>
                <w:sz w:val="14"/>
              </w:rPr>
              <w:t>3</w:t>
            </w:r>
          </w:p>
        </w:tc>
        <w:tc>
          <w:tcPr>
            <w:tcW w:type="dxa" w:w="2592"/>
            <w:tcMar>
              <w:top w:w="60" w:type="dxa"/>
              <w:start w:w="80" w:type="dxa"/>
              <w:bottom w:w="60" w:type="dxa"/>
              <w:end w:w="80" w:type="dxa"/>
            </w:tcMar>
          </w:tcPr>
          <w:p>
            <w:r>
              <w:rPr>
                <w:rFonts w:ascii="Arial" w:hAnsi="Arial"/>
                <w:sz w:val="14"/>
              </w:rPr>
              <w:t>Definir objeto(s) y motivo(s)</w:t>
            </w:r>
          </w:p>
        </w:tc>
        <w:tc>
          <w:tcPr>
            <w:tcW w:type="dxa" w:w="2592"/>
            <w:tcMar>
              <w:top w:w="60" w:type="dxa"/>
              <w:start w:w="80" w:type="dxa"/>
              <w:bottom w:w="60" w:type="dxa"/>
              <w:end w:w="80" w:type="dxa"/>
            </w:tcMar>
          </w:tcPr>
          <w:p>
            <w:r>
              <w:rPr>
                <w:rFonts w:ascii="Arial" w:hAnsi="Arial"/>
                <w:sz w:val="14"/>
              </w:rPr>
              <w:t>Al menos un objeto y un motivo no vacío</w:t>
            </w:r>
          </w:p>
        </w:tc>
        <w:tc>
          <w:tcPr>
            <w:tcW w:type="dxa" w:w="2592"/>
            <w:tcMar>
              <w:top w:w="60" w:type="dxa"/>
              <w:start w:w="80" w:type="dxa"/>
              <w:bottom w:w="60" w:type="dxa"/>
              <w:end w:w="80" w:type="dxa"/>
            </w:tcMar>
          </w:tcPr>
          <w:p>
            <w:r>
              <w:rPr>
                <w:rFonts w:ascii="Arial" w:hAnsi="Arial"/>
                <w:sz w:val="14"/>
              </w:rPr>
              <w:t>Rectificación completa</w:t>
            </w:r>
          </w:p>
        </w:tc>
      </w:tr>
      <w:tr>
        <w:tc>
          <w:tcPr>
            <w:tcW w:type="dxa" w:w="2592"/>
            <w:tcMar>
              <w:top w:w="60" w:type="dxa"/>
              <w:start w:w="80" w:type="dxa"/>
              <w:bottom w:w="60" w:type="dxa"/>
              <w:end w:w="80" w:type="dxa"/>
            </w:tcMar>
          </w:tcPr>
          <w:p>
            <w:r>
              <w:rPr>
                <w:rFonts w:ascii="Arial" w:hAnsi="Arial"/>
                <w:sz w:val="14"/>
              </w:rPr>
              <w:t>4</w:t>
            </w:r>
          </w:p>
        </w:tc>
        <w:tc>
          <w:tcPr>
            <w:tcW w:type="dxa" w:w="2592"/>
            <w:tcMar>
              <w:top w:w="60" w:type="dxa"/>
              <w:start w:w="80" w:type="dxa"/>
              <w:bottom w:w="60" w:type="dxa"/>
              <w:end w:w="80" w:type="dxa"/>
            </w:tcMar>
          </w:tcPr>
          <w:p>
            <w:r>
              <w:rPr>
                <w:rFonts w:ascii="Arial" w:hAnsi="Arial"/>
                <w:sz w:val="14"/>
              </w:rPr>
              <w:t>Validar datos</w:t>
            </w:r>
          </w:p>
        </w:tc>
        <w:tc>
          <w:tcPr>
            <w:tcW w:type="dxa" w:w="2592"/>
            <w:tcMar>
              <w:top w:w="60" w:type="dxa"/>
              <w:start w:w="80" w:type="dxa"/>
              <w:bottom w:w="60" w:type="dxa"/>
              <w:end w:w="80" w:type="dxa"/>
            </w:tcMar>
          </w:tcPr>
          <w:p>
            <w:r>
              <w:rPr>
                <w:rFonts w:ascii="Arial" w:hAnsi="Arial"/>
                <w:sz w:val="14"/>
              </w:rPr>
              <w:t>Campos obligatorios + consistencia propietario/inmueble</w:t>
            </w:r>
          </w:p>
        </w:tc>
        <w:tc>
          <w:tcPr>
            <w:tcW w:type="dxa" w:w="2592"/>
            <w:tcMar>
              <w:top w:w="60" w:type="dxa"/>
              <w:start w:w="80" w:type="dxa"/>
              <w:bottom w:w="60" w:type="dxa"/>
              <w:end w:w="80" w:type="dxa"/>
            </w:tcMar>
          </w:tcPr>
          <w:p>
            <w:r>
              <w:rPr>
                <w:rFonts w:ascii="Arial" w:hAnsi="Arial"/>
                <w:sz w:val="14"/>
              </w:rPr>
              <w:t>Habilita vista previa</w:t>
            </w:r>
          </w:p>
        </w:tc>
      </w:tr>
      <w:tr>
        <w:tc>
          <w:tcPr>
            <w:tcW w:type="dxa" w:w="2592"/>
            <w:tcMar>
              <w:top w:w="60" w:type="dxa"/>
              <w:start w:w="80" w:type="dxa"/>
              <w:bottom w:w="60" w:type="dxa"/>
              <w:end w:w="80" w:type="dxa"/>
            </w:tcMar>
          </w:tcPr>
          <w:p>
            <w:r>
              <w:rPr>
                <w:rFonts w:ascii="Arial" w:hAnsi="Arial"/>
                <w:sz w:val="14"/>
              </w:rPr>
              <w:t>5</w:t>
            </w:r>
          </w:p>
        </w:tc>
        <w:tc>
          <w:tcPr>
            <w:tcW w:type="dxa" w:w="2592"/>
            <w:tcMar>
              <w:top w:w="60" w:type="dxa"/>
              <w:start w:w="80" w:type="dxa"/>
              <w:bottom w:w="60" w:type="dxa"/>
              <w:end w:w="80" w:type="dxa"/>
            </w:tcMar>
          </w:tcPr>
          <w:p>
            <w:r>
              <w:rPr>
                <w:rFonts w:ascii="Arial" w:hAnsi="Arial"/>
                <w:sz w:val="14"/>
              </w:rPr>
              <w:t>Generar vista previa</w:t>
            </w:r>
          </w:p>
        </w:tc>
        <w:tc>
          <w:tcPr>
            <w:tcW w:type="dxa" w:w="2592"/>
            <w:tcMar>
              <w:top w:w="60" w:type="dxa"/>
              <w:start w:w="80" w:type="dxa"/>
              <w:bottom w:w="60" w:type="dxa"/>
              <w:end w:w="80" w:type="dxa"/>
            </w:tcMar>
          </w:tcPr>
          <w:p>
            <w:r>
              <w:rPr>
                <w:rFonts w:ascii="Arial" w:hAnsi="Arial"/>
                <w:sz w:val="14"/>
              </w:rPr>
              <w:t>No debe quedar ningún token sin sustituir</w:t>
            </w:r>
          </w:p>
        </w:tc>
        <w:tc>
          <w:tcPr>
            <w:tcW w:type="dxa" w:w="2592"/>
            <w:tcMar>
              <w:top w:w="60" w:type="dxa"/>
              <w:start w:w="80" w:type="dxa"/>
              <w:bottom w:w="60" w:type="dxa"/>
              <w:end w:w="80" w:type="dxa"/>
            </w:tcMar>
          </w:tcPr>
          <w:p>
            <w:r>
              <w:rPr>
                <w:rFonts w:ascii="Arial" w:hAnsi="Arial"/>
                <w:sz w:val="14"/>
              </w:rPr>
              <w:t>DOCX de previsualización</w:t>
            </w:r>
          </w:p>
        </w:tc>
      </w:tr>
      <w:tr>
        <w:tc>
          <w:tcPr>
            <w:tcW w:type="dxa" w:w="2592"/>
            <w:tcMar>
              <w:top w:w="60" w:type="dxa"/>
              <w:start w:w="80" w:type="dxa"/>
              <w:bottom w:w="60" w:type="dxa"/>
              <w:end w:w="80" w:type="dxa"/>
            </w:tcMar>
          </w:tcPr>
          <w:p>
            <w:r>
              <w:rPr>
                <w:rFonts w:ascii="Arial" w:hAnsi="Arial"/>
                <w:sz w:val="14"/>
              </w:rPr>
              <w:t>6</w:t>
            </w:r>
          </w:p>
        </w:tc>
        <w:tc>
          <w:tcPr>
            <w:tcW w:type="dxa" w:w="2592"/>
            <w:tcMar>
              <w:top w:w="60" w:type="dxa"/>
              <w:start w:w="80" w:type="dxa"/>
              <w:bottom w:w="60" w:type="dxa"/>
              <w:end w:w="80" w:type="dxa"/>
            </w:tcMar>
          </w:tcPr>
          <w:p>
            <w:r>
              <w:rPr>
                <w:rFonts w:ascii="Arial" w:hAnsi="Arial"/>
                <w:sz w:val="14"/>
              </w:rPr>
              <w:t>Emitir</w:t>
            </w:r>
          </w:p>
        </w:tc>
        <w:tc>
          <w:tcPr>
            <w:tcW w:type="dxa" w:w="2592"/>
            <w:tcMar>
              <w:top w:w="60" w:type="dxa"/>
              <w:start w:w="80" w:type="dxa"/>
              <w:bottom w:w="60" w:type="dxa"/>
              <w:end w:w="80" w:type="dxa"/>
            </w:tcMar>
          </w:tcPr>
          <w:p>
            <w:r>
              <w:rPr>
                <w:rFonts w:ascii="Arial" w:hAnsi="Arial"/>
                <w:sz w:val="14"/>
              </w:rPr>
              <w:t>Numeración anual atómica/única</w:t>
            </w:r>
          </w:p>
        </w:tc>
        <w:tc>
          <w:tcPr>
            <w:tcW w:type="dxa" w:w="2592"/>
            <w:tcMar>
              <w:top w:w="60" w:type="dxa"/>
              <w:start w:w="80" w:type="dxa"/>
              <w:bottom w:w="60" w:type="dxa"/>
              <w:end w:w="80" w:type="dxa"/>
            </w:tcMar>
          </w:tcPr>
          <w:p>
            <w:r>
              <w:rPr>
                <w:rFonts w:ascii="Arial" w:hAnsi="Arial"/>
                <w:sz w:val="14"/>
              </w:rPr>
              <w:t>Documento inmutable + estado EMITIDO</w:t>
            </w:r>
          </w:p>
        </w:tc>
      </w:tr>
      <w:tr>
        <w:tc>
          <w:tcPr>
            <w:tcW w:type="dxa" w:w="2592"/>
            <w:tcMar>
              <w:top w:w="60" w:type="dxa"/>
              <w:start w:w="80" w:type="dxa"/>
              <w:bottom w:w="60" w:type="dxa"/>
              <w:end w:w="80" w:type="dxa"/>
            </w:tcMar>
          </w:tcPr>
          <w:p>
            <w:r>
              <w:rPr>
                <w:rFonts w:ascii="Arial" w:hAnsi="Arial"/>
                <w:sz w:val="14"/>
              </w:rPr>
              <w:t>7</w:t>
            </w:r>
          </w:p>
        </w:tc>
        <w:tc>
          <w:tcPr>
            <w:tcW w:type="dxa" w:w="2592"/>
            <w:tcMar>
              <w:top w:w="60" w:type="dxa"/>
              <w:start w:w="80" w:type="dxa"/>
              <w:bottom w:w="60" w:type="dxa"/>
              <w:end w:w="80" w:type="dxa"/>
            </w:tcMar>
          </w:tcPr>
          <w:p>
            <w:r>
              <w:rPr>
                <w:rFonts w:ascii="Arial" w:hAnsi="Arial"/>
                <w:sz w:val="14"/>
              </w:rPr>
              <w:t>Registrar notificación</w:t>
            </w:r>
          </w:p>
        </w:tc>
        <w:tc>
          <w:tcPr>
            <w:tcW w:type="dxa" w:w="2592"/>
            <w:tcMar>
              <w:top w:w="60" w:type="dxa"/>
              <w:start w:w="80" w:type="dxa"/>
              <w:bottom w:w="60" w:type="dxa"/>
              <w:end w:w="80" w:type="dxa"/>
            </w:tcMar>
          </w:tcPr>
          <w:p>
            <w:r>
              <w:rPr>
                <w:rFonts w:ascii="Arial" w:hAnsi="Arial"/>
                <w:sz w:val="14"/>
              </w:rPr>
              <w:t>Fecha y receptor/notificador según corresponda</w:t>
            </w:r>
          </w:p>
        </w:tc>
        <w:tc>
          <w:tcPr>
            <w:tcW w:type="dxa" w:w="2592"/>
            <w:tcMar>
              <w:top w:w="60" w:type="dxa"/>
              <w:start w:w="80" w:type="dxa"/>
              <w:bottom w:w="60" w:type="dxa"/>
              <w:end w:w="80" w:type="dxa"/>
            </w:tcMar>
          </w:tcPr>
          <w:p>
            <w:r>
              <w:rPr>
                <w:rFonts w:ascii="Arial" w:hAnsi="Arial"/>
                <w:sz w:val="14"/>
              </w:rPr>
              <w:t>Estado NOTIFICADO</w:t>
            </w:r>
          </w:p>
        </w:tc>
      </w:tr>
      <w:tr>
        <w:tc>
          <w:tcPr>
            <w:tcW w:type="dxa" w:w="2592"/>
            <w:tcMar>
              <w:top w:w="60" w:type="dxa"/>
              <w:start w:w="80" w:type="dxa"/>
              <w:bottom w:w="60" w:type="dxa"/>
              <w:end w:w="80" w:type="dxa"/>
            </w:tcMar>
          </w:tcPr>
          <w:p>
            <w:r>
              <w:rPr>
                <w:rFonts w:ascii="Arial" w:hAnsi="Arial"/>
                <w:sz w:val="14"/>
              </w:rPr>
              <w:t>8</w:t>
            </w:r>
          </w:p>
        </w:tc>
        <w:tc>
          <w:tcPr>
            <w:tcW w:type="dxa" w:w="2592"/>
            <w:tcMar>
              <w:top w:w="60" w:type="dxa"/>
              <w:start w:w="80" w:type="dxa"/>
              <w:bottom w:w="60" w:type="dxa"/>
              <w:end w:w="80" w:type="dxa"/>
            </w:tcMar>
          </w:tcPr>
          <w:p>
            <w:r>
              <w:rPr>
                <w:rFonts w:ascii="Arial" w:hAnsi="Arial"/>
                <w:sz w:val="14"/>
              </w:rPr>
              <w:t>Dar seguimiento</w:t>
            </w:r>
          </w:p>
        </w:tc>
        <w:tc>
          <w:tcPr>
            <w:tcW w:type="dxa" w:w="2592"/>
            <w:tcMar>
              <w:top w:w="60" w:type="dxa"/>
              <w:start w:w="80" w:type="dxa"/>
              <w:bottom w:w="60" w:type="dxa"/>
              <w:end w:w="80" w:type="dxa"/>
            </w:tcMar>
          </w:tcPr>
          <w:p>
            <w:r>
              <w:rPr>
                <w:rFonts w:ascii="Arial" w:hAnsi="Arial"/>
                <w:sz w:val="14"/>
              </w:rPr>
              <w:t>Registrar recepción de rectificación o actuación posterior</w:t>
            </w:r>
          </w:p>
        </w:tc>
        <w:tc>
          <w:tcPr>
            <w:tcW w:type="dxa" w:w="2592"/>
            <w:tcMar>
              <w:top w:w="60" w:type="dxa"/>
              <w:start w:w="80" w:type="dxa"/>
              <w:bottom w:w="60" w:type="dxa"/>
              <w:end w:w="80" w:type="dxa"/>
            </w:tcMar>
          </w:tcPr>
          <w:p>
            <w:r>
              <w:rPr>
                <w:rFonts w:ascii="Arial" w:hAnsi="Arial"/>
                <w:sz w:val="14"/>
              </w:rPr>
              <w:t>Cierre o derivación del caso</w:t>
            </w:r>
          </w:p>
        </w:tc>
      </w:tr>
    </w:tbl>
    <w:p>
      <w:pPr>
        <w:spacing w:before="120" w:after="60"/>
      </w:pPr>
      <w:r>
        <w:rPr>
          <w:rFonts w:ascii="Arial" w:hAnsi="Arial"/>
          <w:b/>
          <w:color w:val="1F4E78"/>
          <w:sz w:val="26"/>
        </w:rPr>
        <w:t>5. Estados mínimos del submódulo</w:t>
      </w:r>
    </w:p>
    <w:p>
      <w:pPr>
        <w:pStyle w:val="ListBullet"/>
        <w:spacing w:after="30"/>
      </w:pPr>
      <w:r>
        <w:rPr>
          <w:rFonts w:ascii="Arial" w:hAnsi="Arial"/>
          <w:sz w:val="17"/>
        </w:rPr>
        <w:t>BORRADOR: editable y sin número definitivo, o con número reservado según la política que se adopte.</w:t>
      </w:r>
    </w:p>
    <w:p>
      <w:pPr>
        <w:pStyle w:val="ListBullet"/>
        <w:spacing w:after="30"/>
      </w:pPr>
      <w:r>
        <w:rPr>
          <w:rFonts w:ascii="Arial" w:hAnsi="Arial"/>
          <w:sz w:val="17"/>
        </w:rPr>
        <w:t>EMITIDO: documento generado y congelado; cualquier cambio posterior requiere anulación y nueva emisión o una política formal de reemisión.</w:t>
      </w:r>
    </w:p>
    <w:p>
      <w:pPr>
        <w:pStyle w:val="ListBullet"/>
        <w:spacing w:after="30"/>
      </w:pPr>
      <w:r>
        <w:rPr>
          <w:rFonts w:ascii="Arial" w:hAnsi="Arial"/>
          <w:sz w:val="17"/>
        </w:rPr>
        <w:t>NOTIFICADO: se registró la entrega/notificación y su fecha.</w:t>
      </w:r>
    </w:p>
    <w:p>
      <w:pPr>
        <w:pStyle w:val="ListBullet"/>
        <w:spacing w:after="30"/>
      </w:pPr>
      <w:r>
        <w:rPr>
          <w:rFonts w:ascii="Arial" w:hAnsi="Arial"/>
          <w:sz w:val="17"/>
        </w:rPr>
        <w:t>RECTIFICACIÓN RECIBIDA: el contribuyente presentó la actualización asociada.</w:t>
      </w:r>
    </w:p>
    <w:p>
      <w:pPr>
        <w:pStyle w:val="ListBullet"/>
        <w:spacing w:after="30"/>
      </w:pPr>
      <w:r>
        <w:rPr>
          <w:rFonts w:ascii="Arial" w:hAnsi="Arial"/>
          <w:sz w:val="17"/>
        </w:rPr>
        <w:t>CERRADO / DERIVADO A VALORACIÓN DE OFICIO: estado final según el resultado del seguimiento y la regla administrativa aplicable.</w:t>
      </w:r>
    </w:p>
    <w:p>
      <w:pPr>
        <w:pStyle w:val="ListBullet"/>
        <w:spacing w:after="30"/>
      </w:pPr>
      <w:r>
        <w:rPr>
          <w:rFonts w:ascii="Arial" w:hAnsi="Arial"/>
          <w:sz w:val="17"/>
        </w:rPr>
        <w:t>ANULADO: conserva el historial y la razón de anulación; nunca debe borrar el documento emitido del rastro de auditoría.</w:t>
      </w:r>
    </w:p>
    <w:p>
      <w:pPr>
        <w:spacing w:before="120" w:after="60"/>
      </w:pPr>
      <w:r>
        <w:rPr>
          <w:rFonts w:ascii="Arial" w:hAnsi="Arial"/>
          <w:b/>
          <w:color w:val="1F4E78"/>
          <w:sz w:val="26"/>
        </w:rPr>
        <w:t>6. Datos que el submódulo debe manejar</w:t>
      </w:r>
    </w:p>
    <w:tbl>
      <w:tblPr>
        <w:tblW w:type="auto" w:w="0"/>
        <w:jc w:val="center"/>
        <w:tblLook w:firstColumn="1" w:firstRow="1" w:lastColumn="0" w:lastRow="0" w:noHBand="0" w:noVBand="1" w:val="04A0"/>
      </w:tblPr>
      <w:tblGrid>
        <w:gridCol w:w="2592"/>
        <w:gridCol w:w="2592"/>
        <w:gridCol w:w="2592"/>
        <w:gridCol w:w="2592"/>
      </w:tblGrid>
      <w:tr>
        <w:tc>
          <w:tcPr>
            <w:tcW w:type="dxa" w:w="2592"/>
            <w:shd w:fill="1F4E78"/>
            <w:tcMar>
              <w:top w:w="60" w:type="dxa"/>
              <w:start w:w="80" w:type="dxa"/>
              <w:bottom w:w="60" w:type="dxa"/>
              <w:end w:w="80" w:type="dxa"/>
            </w:tcMar>
          </w:tcPr>
          <w:p>
            <w:r>
              <w:rPr>
                <w:rFonts w:ascii="Arial" w:hAnsi="Arial"/>
                <w:b/>
                <w:color w:val="FFFFFF"/>
                <w:sz w:val="16"/>
              </w:rPr>
              <w:t>Grupo</w:t>
            </w:r>
          </w:p>
        </w:tc>
        <w:tc>
          <w:tcPr>
            <w:tcW w:type="dxa" w:w="2592"/>
            <w:shd w:fill="1F4E78"/>
            <w:tcMar>
              <w:top w:w="60" w:type="dxa"/>
              <w:start w:w="80" w:type="dxa"/>
              <w:bottom w:w="60" w:type="dxa"/>
              <w:end w:w="80" w:type="dxa"/>
            </w:tcMar>
          </w:tcPr>
          <w:p>
            <w:r>
              <w:rPr>
                <w:rFonts w:ascii="Arial" w:hAnsi="Arial"/>
                <w:b/>
                <w:color w:val="FFFFFF"/>
                <w:sz w:val="16"/>
              </w:rPr>
              <w:t>Campos principales</w:t>
            </w:r>
          </w:p>
        </w:tc>
        <w:tc>
          <w:tcPr>
            <w:tcW w:type="dxa" w:w="2592"/>
            <w:shd w:fill="1F4E78"/>
            <w:tcMar>
              <w:top w:w="60" w:type="dxa"/>
              <w:start w:w="80" w:type="dxa"/>
              <w:bottom w:w="60" w:type="dxa"/>
              <w:end w:w="80" w:type="dxa"/>
            </w:tcMar>
          </w:tcPr>
          <w:p>
            <w:r>
              <w:rPr>
                <w:rFonts w:ascii="Arial" w:hAnsi="Arial"/>
                <w:b/>
                <w:color w:val="FFFFFF"/>
                <w:sz w:val="16"/>
              </w:rPr>
              <w:t>Obligatoriedad</w:t>
            </w:r>
          </w:p>
        </w:tc>
        <w:tc>
          <w:tcPr>
            <w:tcW w:type="dxa" w:w="2592"/>
            <w:shd w:fill="1F4E78"/>
            <w:tcMar>
              <w:top w:w="60" w:type="dxa"/>
              <w:start w:w="80" w:type="dxa"/>
              <w:bottom w:w="60" w:type="dxa"/>
              <w:end w:w="80" w:type="dxa"/>
            </w:tcMar>
          </w:tcPr>
          <w:p>
            <w:r>
              <w:rPr>
                <w:rFonts w:ascii="Arial" w:hAnsi="Arial"/>
                <w:b/>
                <w:color w:val="FFFFFF"/>
                <w:sz w:val="16"/>
              </w:rPr>
              <w:t>Origen recomendado</w:t>
            </w:r>
          </w:p>
        </w:tc>
      </w:tr>
      <w:tr>
        <w:tc>
          <w:tcPr>
            <w:tcW w:type="dxa" w:w="2592"/>
            <w:tcMar>
              <w:top w:w="60" w:type="dxa"/>
              <w:start w:w="80" w:type="dxa"/>
              <w:bottom w:w="60" w:type="dxa"/>
              <w:end w:w="80" w:type="dxa"/>
            </w:tcMar>
          </w:tcPr>
          <w:p>
            <w:r>
              <w:rPr>
                <w:rFonts w:ascii="Arial" w:hAnsi="Arial"/>
                <w:sz w:val="14"/>
              </w:rPr>
              <w:t>Documento</w:t>
            </w:r>
          </w:p>
        </w:tc>
        <w:tc>
          <w:tcPr>
            <w:tcW w:type="dxa" w:w="2592"/>
            <w:tcMar>
              <w:top w:w="60" w:type="dxa"/>
              <w:start w:w="80" w:type="dxa"/>
              <w:bottom w:w="60" w:type="dxa"/>
              <w:end w:w="80" w:type="dxa"/>
            </w:tcMar>
          </w:tcPr>
          <w:p>
            <w:r>
              <w:rPr>
                <w:rFonts w:ascii="Arial" w:hAnsi="Arial"/>
                <w:sz w:val="14"/>
              </w:rPr>
              <w:t>oficio, fecha de emisión, versión de machote</w:t>
            </w:r>
          </w:p>
        </w:tc>
        <w:tc>
          <w:tcPr>
            <w:tcW w:type="dxa" w:w="2592"/>
            <w:tcMar>
              <w:top w:w="60" w:type="dxa"/>
              <w:start w:w="80" w:type="dxa"/>
              <w:bottom w:w="60" w:type="dxa"/>
              <w:end w:w="80" w:type="dxa"/>
            </w:tcMar>
          </w:tcPr>
          <w:p>
            <w:r>
              <w:rPr>
                <w:rFonts w:ascii="Arial" w:hAnsi="Arial"/>
                <w:sz w:val="14"/>
              </w:rPr>
              <w:t>Sí</w:t>
            </w:r>
          </w:p>
        </w:tc>
        <w:tc>
          <w:tcPr>
            <w:tcW w:type="dxa" w:w="2592"/>
            <w:tcMar>
              <w:top w:w="60" w:type="dxa"/>
              <w:start w:w="80" w:type="dxa"/>
              <w:bottom w:w="60" w:type="dxa"/>
              <w:end w:w="80" w:type="dxa"/>
            </w:tcMar>
          </w:tcPr>
          <w:p>
            <w:r>
              <w:rPr>
                <w:rFonts w:ascii="Arial" w:hAnsi="Arial"/>
                <w:sz w:val="14"/>
              </w:rPr>
              <w:t>secuencia/configuración + sistema</w:t>
            </w:r>
          </w:p>
        </w:tc>
      </w:tr>
      <w:tr>
        <w:tc>
          <w:tcPr>
            <w:tcW w:type="dxa" w:w="2592"/>
            <w:tcMar>
              <w:top w:w="60" w:type="dxa"/>
              <w:start w:w="80" w:type="dxa"/>
              <w:bottom w:w="60" w:type="dxa"/>
              <w:end w:w="80" w:type="dxa"/>
            </w:tcMar>
          </w:tcPr>
          <w:p>
            <w:r>
              <w:rPr>
                <w:rFonts w:ascii="Arial" w:hAnsi="Arial"/>
                <w:sz w:val="14"/>
              </w:rPr>
              <w:t>Propietario</w:t>
            </w:r>
          </w:p>
        </w:tc>
        <w:tc>
          <w:tcPr>
            <w:tcW w:type="dxa" w:w="2592"/>
            <w:tcMar>
              <w:top w:w="60" w:type="dxa"/>
              <w:start w:w="80" w:type="dxa"/>
              <w:bottom w:w="60" w:type="dxa"/>
              <w:end w:w="80" w:type="dxa"/>
            </w:tcMar>
          </w:tcPr>
          <w:p>
            <w:r>
              <w:rPr>
                <w:rFonts w:ascii="Arial" w:hAnsi="Arial"/>
                <w:sz w:val="14"/>
              </w:rPr>
              <w:t>nombre, identificación, dirección fiscal, provincia, cantón, distrito, teléfonos, correo</w:t>
            </w:r>
          </w:p>
        </w:tc>
        <w:tc>
          <w:tcPr>
            <w:tcW w:type="dxa" w:w="2592"/>
            <w:tcMar>
              <w:top w:w="60" w:type="dxa"/>
              <w:start w:w="80" w:type="dxa"/>
              <w:bottom w:w="60" w:type="dxa"/>
              <w:end w:w="80" w:type="dxa"/>
            </w:tcMar>
          </w:tcPr>
          <w:p>
            <w:r>
              <w:rPr>
                <w:rFonts w:ascii="Arial" w:hAnsi="Arial"/>
                <w:sz w:val="14"/>
              </w:rPr>
              <w:t>Nombre/ID/dirección sí; contactos según disponibilidad</w:t>
            </w:r>
          </w:p>
        </w:tc>
        <w:tc>
          <w:tcPr>
            <w:tcW w:type="dxa" w:w="2592"/>
            <w:tcMar>
              <w:top w:w="60" w:type="dxa"/>
              <w:start w:w="80" w:type="dxa"/>
              <w:bottom w:w="60" w:type="dxa"/>
              <w:end w:w="80" w:type="dxa"/>
            </w:tcMar>
          </w:tcPr>
          <w:p>
            <w:r>
              <w:rPr>
                <w:rFonts w:ascii="Arial" w:hAnsi="Arial"/>
                <w:sz w:val="14"/>
              </w:rPr>
              <w:t>expediente/registro</w:t>
            </w:r>
          </w:p>
        </w:tc>
      </w:tr>
      <w:tr>
        <w:tc>
          <w:tcPr>
            <w:tcW w:type="dxa" w:w="2592"/>
            <w:tcMar>
              <w:top w:w="60" w:type="dxa"/>
              <w:start w:w="80" w:type="dxa"/>
              <w:bottom w:w="60" w:type="dxa"/>
              <w:end w:w="80" w:type="dxa"/>
            </w:tcMar>
          </w:tcPr>
          <w:p>
            <w:r>
              <w:rPr>
                <w:rFonts w:ascii="Arial" w:hAnsi="Arial"/>
                <w:sz w:val="14"/>
              </w:rPr>
              <w:t>Representante</w:t>
            </w:r>
          </w:p>
        </w:tc>
        <w:tc>
          <w:tcPr>
            <w:tcW w:type="dxa" w:w="2592"/>
            <w:tcMar>
              <w:top w:w="60" w:type="dxa"/>
              <w:start w:w="80" w:type="dxa"/>
              <w:bottom w:w="60" w:type="dxa"/>
              <w:end w:w="80" w:type="dxa"/>
            </w:tcMar>
          </w:tcPr>
          <w:p>
            <w:r>
              <w:rPr>
                <w:rFonts w:ascii="Arial" w:hAnsi="Arial"/>
                <w:sz w:val="14"/>
              </w:rPr>
              <w:t>nombre, identificación, celular, fax, otro teléfono, zona</w:t>
            </w:r>
          </w:p>
        </w:tc>
        <w:tc>
          <w:tcPr>
            <w:tcW w:type="dxa" w:w="2592"/>
            <w:tcMar>
              <w:top w:w="60" w:type="dxa"/>
              <w:start w:w="80" w:type="dxa"/>
              <w:bottom w:w="60" w:type="dxa"/>
              <w:end w:w="80" w:type="dxa"/>
            </w:tcMar>
          </w:tcPr>
          <w:p>
            <w:r>
              <w:rPr>
                <w:rFonts w:ascii="Arial" w:hAnsi="Arial"/>
                <w:sz w:val="14"/>
              </w:rPr>
              <w:t>Condicional</w:t>
            </w:r>
          </w:p>
        </w:tc>
        <w:tc>
          <w:tcPr>
            <w:tcW w:type="dxa" w:w="2592"/>
            <w:tcMar>
              <w:top w:w="60" w:type="dxa"/>
              <w:start w:w="80" w:type="dxa"/>
              <w:bottom w:w="60" w:type="dxa"/>
              <w:end w:w="80" w:type="dxa"/>
            </w:tcMar>
          </w:tcPr>
          <w:p>
            <w:r>
              <w:rPr>
                <w:rFonts w:ascii="Arial" w:hAnsi="Arial"/>
                <w:sz w:val="14"/>
              </w:rPr>
              <w:t>expediente/registro</w:t>
            </w:r>
          </w:p>
        </w:tc>
      </w:tr>
      <w:tr>
        <w:tc>
          <w:tcPr>
            <w:tcW w:type="dxa" w:w="2592"/>
            <w:tcMar>
              <w:top w:w="60" w:type="dxa"/>
              <w:start w:w="80" w:type="dxa"/>
              <w:bottom w:w="60" w:type="dxa"/>
              <w:end w:w="80" w:type="dxa"/>
            </w:tcMar>
          </w:tcPr>
          <w:p>
            <w:r>
              <w:rPr>
                <w:rFonts w:ascii="Arial" w:hAnsi="Arial"/>
                <w:sz w:val="14"/>
              </w:rPr>
              <w:t>Inmueble</w:t>
            </w:r>
          </w:p>
        </w:tc>
        <w:tc>
          <w:tcPr>
            <w:tcW w:type="dxa" w:w="2592"/>
            <w:tcMar>
              <w:top w:w="60" w:type="dxa"/>
              <w:start w:w="80" w:type="dxa"/>
              <w:bottom w:w="60" w:type="dxa"/>
              <w:end w:w="80" w:type="dxa"/>
            </w:tcMar>
          </w:tcPr>
          <w:p>
            <w:r>
              <w:rPr>
                <w:rFonts w:ascii="Arial" w:hAnsi="Arial"/>
                <w:sz w:val="14"/>
              </w:rPr>
              <w:t>consecutivo DBI, finca, derecho, plano, distrito, dirección/folio</w:t>
            </w:r>
          </w:p>
        </w:tc>
        <w:tc>
          <w:tcPr>
            <w:tcW w:type="dxa" w:w="2592"/>
            <w:tcMar>
              <w:top w:w="60" w:type="dxa"/>
              <w:start w:w="80" w:type="dxa"/>
              <w:bottom w:w="60" w:type="dxa"/>
              <w:end w:w="80" w:type="dxa"/>
            </w:tcMar>
          </w:tcPr>
          <w:p>
            <w:r>
              <w:rPr>
                <w:rFonts w:ascii="Arial" w:hAnsi="Arial"/>
                <w:sz w:val="14"/>
              </w:rPr>
              <w:t>DBI/finca/derecho/distrito/dirección sí; plano según disponibilidad</w:t>
            </w:r>
          </w:p>
        </w:tc>
        <w:tc>
          <w:tcPr>
            <w:tcW w:type="dxa" w:w="2592"/>
            <w:tcMar>
              <w:top w:w="60" w:type="dxa"/>
              <w:start w:w="80" w:type="dxa"/>
              <w:bottom w:w="60" w:type="dxa"/>
              <w:end w:w="80" w:type="dxa"/>
            </w:tcMar>
          </w:tcPr>
          <w:p>
            <w:r>
              <w:rPr>
                <w:rFonts w:ascii="Arial" w:hAnsi="Arial"/>
                <w:sz w:val="14"/>
              </w:rPr>
              <w:t>declaración/registro/expediente</w:t>
            </w:r>
          </w:p>
        </w:tc>
      </w:tr>
      <w:tr>
        <w:tc>
          <w:tcPr>
            <w:tcW w:type="dxa" w:w="2592"/>
            <w:tcMar>
              <w:top w:w="60" w:type="dxa"/>
              <w:start w:w="80" w:type="dxa"/>
              <w:bottom w:w="60" w:type="dxa"/>
              <w:end w:w="80" w:type="dxa"/>
            </w:tcMar>
          </w:tcPr>
          <w:p>
            <w:r>
              <w:rPr>
                <w:rFonts w:ascii="Arial" w:hAnsi="Arial"/>
                <w:sz w:val="14"/>
              </w:rPr>
              <w:t>Rectificación</w:t>
            </w:r>
          </w:p>
        </w:tc>
        <w:tc>
          <w:tcPr>
            <w:tcW w:type="dxa" w:w="2592"/>
            <w:tcMar>
              <w:top w:w="60" w:type="dxa"/>
              <w:start w:w="80" w:type="dxa"/>
              <w:bottom w:w="60" w:type="dxa"/>
              <w:end w:w="80" w:type="dxa"/>
            </w:tcMar>
          </w:tcPr>
          <w:p>
            <w:r>
              <w:rPr>
                <w:rFonts w:ascii="Arial" w:hAnsi="Arial"/>
                <w:sz w:val="14"/>
              </w:rPr>
              <w:t>objeto(s), motivo(s) simplificado(s), observaciones</w:t>
            </w:r>
          </w:p>
        </w:tc>
        <w:tc>
          <w:tcPr>
            <w:tcW w:type="dxa" w:w="2592"/>
            <w:tcMar>
              <w:top w:w="60" w:type="dxa"/>
              <w:start w:w="80" w:type="dxa"/>
              <w:bottom w:w="60" w:type="dxa"/>
              <w:end w:w="80" w:type="dxa"/>
            </w:tcMar>
          </w:tcPr>
          <w:p>
            <w:r>
              <w:rPr>
                <w:rFonts w:ascii="Arial" w:hAnsi="Arial"/>
                <w:sz w:val="14"/>
              </w:rPr>
              <w:t>Al menos uno</w:t>
            </w:r>
          </w:p>
        </w:tc>
        <w:tc>
          <w:tcPr>
            <w:tcW w:type="dxa" w:w="2592"/>
            <w:tcMar>
              <w:top w:w="60" w:type="dxa"/>
              <w:start w:w="80" w:type="dxa"/>
              <w:bottom w:w="60" w:type="dxa"/>
              <w:end w:w="80" w:type="dxa"/>
            </w:tcMar>
          </w:tcPr>
          <w:p>
            <w:r>
              <w:rPr>
                <w:rFonts w:ascii="Arial" w:hAnsi="Arial"/>
                <w:sz w:val="14"/>
              </w:rPr>
              <w:t>captura de usuario + catálogo</w:t>
            </w:r>
          </w:p>
        </w:tc>
      </w:tr>
      <w:tr>
        <w:tc>
          <w:tcPr>
            <w:tcW w:type="dxa" w:w="2592"/>
            <w:tcMar>
              <w:top w:w="60" w:type="dxa"/>
              <w:start w:w="80" w:type="dxa"/>
              <w:bottom w:w="60" w:type="dxa"/>
              <w:end w:w="80" w:type="dxa"/>
            </w:tcMar>
          </w:tcPr>
          <w:p>
            <w:r>
              <w:rPr>
                <w:rFonts w:ascii="Arial" w:hAnsi="Arial"/>
                <w:sz w:val="14"/>
              </w:rPr>
              <w:t>Notificación</w:t>
            </w:r>
          </w:p>
        </w:tc>
        <w:tc>
          <w:tcPr>
            <w:tcW w:type="dxa" w:w="2592"/>
            <w:tcMar>
              <w:top w:w="60" w:type="dxa"/>
              <w:start w:w="80" w:type="dxa"/>
              <w:bottom w:w="60" w:type="dxa"/>
              <w:end w:w="80" w:type="dxa"/>
            </w:tcMar>
          </w:tcPr>
          <w:p>
            <w:r>
              <w:rPr>
                <w:rFonts w:ascii="Arial" w:hAnsi="Arial"/>
                <w:sz w:val="14"/>
              </w:rPr>
              <w:t>notificador, receptor, fecha de entrega, observaciones</w:t>
            </w:r>
          </w:p>
        </w:tc>
        <w:tc>
          <w:tcPr>
            <w:tcW w:type="dxa" w:w="2592"/>
            <w:tcMar>
              <w:top w:w="60" w:type="dxa"/>
              <w:start w:w="80" w:type="dxa"/>
              <w:bottom w:w="60" w:type="dxa"/>
              <w:end w:w="80" w:type="dxa"/>
            </w:tcMar>
          </w:tcPr>
          <w:p>
            <w:r>
              <w:rPr>
                <w:rFonts w:ascii="Arial" w:hAnsi="Arial"/>
                <w:sz w:val="14"/>
              </w:rPr>
              <w:t>Al notificar</w:t>
            </w:r>
          </w:p>
        </w:tc>
        <w:tc>
          <w:tcPr>
            <w:tcW w:type="dxa" w:w="2592"/>
            <w:tcMar>
              <w:top w:w="60" w:type="dxa"/>
              <w:start w:w="80" w:type="dxa"/>
              <w:bottom w:w="60" w:type="dxa"/>
              <w:end w:w="80" w:type="dxa"/>
            </w:tcMar>
          </w:tcPr>
          <w:p>
            <w:r>
              <w:rPr>
                <w:rFonts w:ascii="Arial" w:hAnsi="Arial"/>
                <w:sz w:val="14"/>
              </w:rPr>
              <w:t>captura de usuario</w:t>
            </w:r>
          </w:p>
        </w:tc>
      </w:tr>
      <w:tr>
        <w:tc>
          <w:tcPr>
            <w:tcW w:type="dxa" w:w="2592"/>
            <w:tcMar>
              <w:top w:w="60" w:type="dxa"/>
              <w:start w:w="80" w:type="dxa"/>
              <w:bottom w:w="60" w:type="dxa"/>
              <w:end w:w="80" w:type="dxa"/>
            </w:tcMar>
          </w:tcPr>
          <w:p>
            <w:r>
              <w:rPr>
                <w:rFonts w:ascii="Arial" w:hAnsi="Arial"/>
                <w:sz w:val="14"/>
              </w:rPr>
              <w:t>Auditoría</w:t>
            </w:r>
          </w:p>
        </w:tc>
        <w:tc>
          <w:tcPr>
            <w:tcW w:type="dxa" w:w="2592"/>
            <w:tcMar>
              <w:top w:w="60" w:type="dxa"/>
              <w:start w:w="80" w:type="dxa"/>
              <w:bottom w:w="60" w:type="dxa"/>
              <w:end w:w="80" w:type="dxa"/>
            </w:tcMar>
          </w:tcPr>
          <w:p>
            <w:r>
              <w:rPr>
                <w:rFonts w:ascii="Arial" w:hAnsi="Arial"/>
                <w:sz w:val="14"/>
              </w:rPr>
              <w:t>usuario, fecha/hora, acción, versión, hash o identificador de archivo</w:t>
            </w:r>
          </w:p>
        </w:tc>
        <w:tc>
          <w:tcPr>
            <w:tcW w:type="dxa" w:w="2592"/>
            <w:tcMar>
              <w:top w:w="60" w:type="dxa"/>
              <w:start w:w="80" w:type="dxa"/>
              <w:bottom w:w="60" w:type="dxa"/>
              <w:end w:w="80" w:type="dxa"/>
            </w:tcMar>
          </w:tcPr>
          <w:p>
            <w:r>
              <w:rPr>
                <w:rFonts w:ascii="Arial" w:hAnsi="Arial"/>
                <w:sz w:val="14"/>
              </w:rPr>
              <w:t>Sí</w:t>
            </w:r>
          </w:p>
        </w:tc>
        <w:tc>
          <w:tcPr>
            <w:tcW w:type="dxa" w:w="2592"/>
            <w:tcMar>
              <w:top w:w="60" w:type="dxa"/>
              <w:start w:w="80" w:type="dxa"/>
              <w:bottom w:w="60" w:type="dxa"/>
              <w:end w:w="80" w:type="dxa"/>
            </w:tcMar>
          </w:tcPr>
          <w:p>
            <w:r>
              <w:rPr>
                <w:rFonts w:ascii="Arial" w:hAnsi="Arial"/>
                <w:sz w:val="14"/>
              </w:rPr>
              <w:t>sistema</w:t>
            </w:r>
          </w:p>
        </w:tc>
      </w:tr>
    </w:tbl>
    <w:p>
      <w:pPr>
        <w:spacing w:before="120" w:after="60"/>
      </w:pPr>
      <w:r>
        <w:rPr>
          <w:rFonts w:ascii="Arial" w:hAnsi="Arial"/>
          <w:b/>
          <w:color w:val="1F4E78"/>
          <w:sz w:val="26"/>
        </w:rPr>
        <w:t>7. Reglas de validación y seguridad</w:t>
      </w:r>
    </w:p>
    <w:p>
      <w:pPr>
        <w:pStyle w:val="ListBullet"/>
        <w:spacing w:after="30"/>
      </w:pPr>
      <w:r>
        <w:rPr>
          <w:rFonts w:ascii="Arial" w:hAnsi="Arial"/>
          <w:sz w:val="17"/>
        </w:rPr>
        <w:t>No permitir EMITIR si falta propietario, identificación, finca, DBI, objeto de rechazo o motivo.</w:t>
      </w:r>
    </w:p>
    <w:p>
      <w:pPr>
        <w:pStyle w:val="ListBullet"/>
        <w:spacing w:after="30"/>
      </w:pPr>
      <w:r>
        <w:rPr>
          <w:rFonts w:ascii="Arial" w:hAnsi="Arial"/>
          <w:sz w:val="17"/>
        </w:rPr>
        <w:t>No permitir EMITIR si el DOCX resultante conserva tokens como «NOMBRE», «FINCA», «MOTIVO_1», etc.</w:t>
      </w:r>
    </w:p>
    <w:p>
      <w:pPr>
        <w:pStyle w:val="ListBullet"/>
        <w:spacing w:after="30"/>
      </w:pPr>
      <w:r>
        <w:rPr>
          <w:rFonts w:ascii="Arial" w:hAnsi="Arial"/>
          <w:sz w:val="17"/>
        </w:rPr>
        <w:t>Nunca usar los valores de ejemplo del archivo final como defaults de una nueva rectificación.</w:t>
      </w:r>
    </w:p>
    <w:p>
      <w:pPr>
        <w:pStyle w:val="ListBullet"/>
        <w:spacing w:after="30"/>
      </w:pPr>
      <w:r>
        <w:rPr>
          <w:rFonts w:ascii="Arial" w:hAnsi="Arial"/>
          <w:sz w:val="17"/>
        </w:rPr>
        <w:t>La numeración debe ser única, transaccional y auditable; dos usuarios no pueden obtener el mismo oficio.</w:t>
      </w:r>
    </w:p>
    <w:p>
      <w:pPr>
        <w:pStyle w:val="ListBullet"/>
        <w:spacing w:after="30"/>
      </w:pPr>
      <w:r>
        <w:rPr>
          <w:rFonts w:ascii="Arial" w:hAnsi="Arial"/>
          <w:sz w:val="17"/>
        </w:rPr>
        <w:t>Separar permisos: consultar, editar borrador, emitir, registrar notificación, anular y administrar configuración/numeración.</w:t>
      </w:r>
    </w:p>
    <w:p>
      <w:pPr>
        <w:pStyle w:val="ListBullet"/>
        <w:spacing w:after="30"/>
      </w:pPr>
      <w:r>
        <w:rPr>
          <w:rFonts w:ascii="Arial" w:hAnsi="Arial"/>
          <w:sz w:val="17"/>
        </w:rPr>
        <w:t>Después de emitir, conservar una instantánea inmutable del documento y de los datos usados para generarlo.</w:t>
      </w:r>
    </w:p>
    <w:p>
      <w:pPr>
        <w:pStyle w:val="ListBullet"/>
        <w:spacing w:after="30"/>
      </w:pPr>
      <w:r>
        <w:rPr>
          <w:rFonts w:ascii="Arial" w:hAnsi="Arial"/>
          <w:sz w:val="17"/>
        </w:rPr>
        <w:t>No modificar automáticamente el texto de los artículos 68 y 70 ni el plazo escrito en el machote mientras no exista una nueva versión formal del documento.</w:t>
      </w:r>
    </w:p>
    <w:p>
      <w:pPr>
        <w:pStyle w:val="ListBullet"/>
        <w:spacing w:after="30"/>
      </w:pPr>
      <w:r>
        <w:rPr>
          <w:rFonts w:ascii="Arial" w:hAnsi="Arial"/>
          <w:sz w:val="17"/>
        </w:rPr>
        <w:t>Proteger datos personales: el listado de documentos debe mostrar solo la información necesaria y respetar los permisos del expediente.</w:t>
      </w:r>
    </w:p>
    <w:p>
      <w:pPr>
        <w:spacing w:before="120" w:after="60"/>
      </w:pPr>
      <w:r>
        <w:rPr>
          <w:rFonts w:ascii="Arial" w:hAnsi="Arial"/>
          <w:b/>
          <w:color w:val="1F4E78"/>
          <w:sz w:val="26"/>
        </w:rPr>
        <w:t>8. Lógica de generación documental</w:t>
      </w:r>
    </w:p>
    <w:p>
      <w:pPr>
        <w:spacing w:after="60" w:line="240" w:lineRule="auto"/>
      </w:pPr>
      <w:r>
        <w:rPr>
          <w:rFonts w:ascii="Arial" w:hAnsi="Arial"/>
          <w:sz w:val="18"/>
        </w:rPr>
        <w:t>Se creó junto con esta auditoría una copia parametrizada del machote final, denominada “MS_FBI_RD_MACHOTE_APLICACION_V1.docx”. Conserva la composición del documento y sustituye únicamente los valores concretos del caso por tokens. La aplicación debe trabajar sobre una copia temporal del master, reemplazar todos los tokens, validar que no queden pendientes y guardar el resultado emitido como archivo separado.</w:t>
      </w:r>
    </w:p>
    <w:p>
      <w:pPr>
        <w:pStyle w:val="ListBullet"/>
        <w:spacing w:after="30"/>
      </w:pPr>
      <w:r>
        <w:rPr>
          <w:rFonts w:ascii="Arial" w:hAnsi="Arial"/>
          <w:sz w:val="17"/>
        </w:rPr>
        <w:t>Master de entrada: MS_FBI_RD_MACHOTE_APLICACION_V1.docx.</w:t>
      </w:r>
    </w:p>
    <w:p>
      <w:pPr>
        <w:pStyle w:val="ListBullet"/>
        <w:spacing w:after="30"/>
      </w:pPr>
      <w:r>
        <w:rPr>
          <w:rFonts w:ascii="Arial" w:hAnsi="Arial"/>
          <w:sz w:val="17"/>
        </w:rPr>
        <w:t>Salida propuesta: nombre basado en número de oficio y finca; la convención exacta debe quedar configurable.</w:t>
      </w:r>
    </w:p>
    <w:p>
      <w:pPr>
        <w:pStyle w:val="ListBullet"/>
        <w:spacing w:after="30"/>
      </w:pPr>
      <w:r>
        <w:rPr>
          <w:rFonts w:ascii="Arial" w:hAnsi="Arial"/>
          <w:sz w:val="17"/>
        </w:rPr>
        <w:t>Mantener logo, marca de agua, encabezado, pie, tablas, textos legales, firmas y proporciones del machote final.</w:t>
      </w:r>
    </w:p>
    <w:p>
      <w:pPr>
        <w:pStyle w:val="ListBullet"/>
        <w:spacing w:after="30"/>
      </w:pPr>
      <w:r>
        <w:rPr>
          <w:rFonts w:ascii="Arial" w:hAnsi="Arial"/>
          <w:sz w:val="17"/>
        </w:rPr>
        <w:t>Si se agregan más inmuebles o motivos de los que caben en una página, clonar filas con estilos equivalentes y permitir salto de página controlado; nunca reducir la fuente hasta volver ilegible el documento.</w:t>
      </w:r>
    </w:p>
    <w:p>
      <w:pPr>
        <w:pStyle w:val="ListBullet"/>
        <w:spacing w:after="30"/>
      </w:pPr>
      <w:r>
        <w:rPr>
          <w:rFonts w:ascii="Arial" w:hAnsi="Arial"/>
          <w:sz w:val="17"/>
        </w:rPr>
        <w:t>Antes de liberar una nueva versión del master, ejecutar comparación visual contra el machote final aprobado.</w:t>
      </w:r>
    </w:p>
    <w:p>
      <w:pPr>
        <w:spacing w:before="120" w:after="60"/>
      </w:pPr>
      <w:r>
        <w:rPr>
          <w:rFonts w:ascii="Arial" w:hAnsi="Arial"/>
          <w:b/>
          <w:color w:val="1F4E78"/>
          <w:sz w:val="26"/>
        </w:rPr>
        <w:t>9. Integración de las dos salidas ya definidas dentro de INFORMES</w:t>
      </w:r>
    </w:p>
    <w:p>
      <w:pPr>
        <w:spacing w:after="60" w:line="240" w:lineRule="auto"/>
      </w:pPr>
      <w:r>
        <w:rPr>
          <w:rFonts w:ascii="Arial" w:hAnsi="Arial"/>
          <w:sz w:val="18"/>
        </w:rPr>
        <w:t>Dentro del módulo INFORMES se conserva, sin rediseño, la estructura ya acordada de dos salidas originadas en el mismo expediente de fiscalización. SALIDA 1: INFORME TÉCNICO + RESOLUCIÓN, generados como una misma salida documental conforme al machote final de fiscalización. SALIDA 2: SOLICITUD DE RECTIFICACIÓN MS_FBI_RD, habilitada cuando el resultado de la fiscalización determine que corresponde solicitar la rectificación. Ambas salidas reutilizan los datos ya verificados del expediente para evitar recaptura e inconsistencias. La incorporación de MS_FBI_RD no sustituye, renombra ni reestructura el módulo INFORMES.</w:t>
      </w:r>
    </w:p>
    <w:p>
      <w:pPr>
        <w:spacing w:before="120" w:after="60"/>
      </w:pPr>
      <w:r>
        <w:rPr>
          <w:rFonts w:ascii="Arial" w:hAnsi="Arial"/>
          <w:b/>
          <w:color w:val="1F4E78"/>
          <w:sz w:val="26"/>
        </w:rPr>
        <w:t>10. Criterios de aceptación</w:t>
      </w:r>
    </w:p>
    <w:p>
      <w:pPr>
        <w:spacing w:after="40"/>
      </w:pPr>
      <w:r>
        <w:rPr>
          <w:rFonts w:ascii="Arial" w:hAnsi="Arial"/>
          <w:b/>
          <w:color w:val="2E7D32"/>
          <w:sz w:val="16"/>
        </w:rPr>
        <w:t xml:space="preserve">CA-01. </w:t>
      </w:r>
      <w:r>
        <w:rPr>
          <w:rFonts w:ascii="Arial" w:hAnsi="Arial"/>
          <w:sz w:val="16"/>
        </w:rPr>
        <w:t>El documento generado conserva la apariencia del machote MS-FBI-RD final en tamaño carta, incluyendo encabezado, colores, marca de agua, tablas, nota legal, firmas y pie.</w:t>
      </w:r>
    </w:p>
    <w:p>
      <w:pPr>
        <w:spacing w:after="40"/>
      </w:pPr>
      <w:r>
        <w:rPr>
          <w:rFonts w:ascii="Arial" w:hAnsi="Arial"/>
          <w:b/>
          <w:color w:val="2E7D32"/>
          <w:sz w:val="16"/>
        </w:rPr>
        <w:t xml:space="preserve">CA-02. </w:t>
      </w:r>
      <w:r>
        <w:rPr>
          <w:rFonts w:ascii="Arial" w:hAnsi="Arial"/>
          <w:sz w:val="16"/>
        </w:rPr>
        <w:t>Ningún documento nuevo contiene datos del propietario o inmueble usados en el archivo de ejemplo.</w:t>
      </w:r>
    </w:p>
    <w:p>
      <w:pPr>
        <w:spacing w:after="40"/>
      </w:pPr>
      <w:r>
        <w:rPr>
          <w:rFonts w:ascii="Arial" w:hAnsi="Arial"/>
          <w:b/>
          <w:color w:val="2E7D32"/>
          <w:sz w:val="16"/>
        </w:rPr>
        <w:t xml:space="preserve">CA-03. </w:t>
      </w:r>
      <w:r>
        <w:rPr>
          <w:rFonts w:ascii="Arial" w:hAnsi="Arial"/>
          <w:sz w:val="16"/>
        </w:rPr>
        <w:t>El número de oficio y la fecha se muestran en la misma ubicación visual del machote final.</w:t>
      </w:r>
    </w:p>
    <w:p>
      <w:pPr>
        <w:spacing w:after="40"/>
      </w:pPr>
      <w:r>
        <w:rPr>
          <w:rFonts w:ascii="Arial" w:hAnsi="Arial"/>
          <w:b/>
          <w:color w:val="2E7D32"/>
          <w:sz w:val="16"/>
        </w:rPr>
        <w:t xml:space="preserve">CA-04. </w:t>
      </w:r>
      <w:r>
        <w:rPr>
          <w:rFonts w:ascii="Arial" w:hAnsi="Arial"/>
          <w:sz w:val="16"/>
        </w:rPr>
        <w:t>Los datos de propietario, inmueble y rechazo se inyectan sin cortar texto ni superponer celdas.</w:t>
      </w:r>
    </w:p>
    <w:p>
      <w:pPr>
        <w:spacing w:after="40"/>
      </w:pPr>
      <w:r>
        <w:rPr>
          <w:rFonts w:ascii="Arial" w:hAnsi="Arial"/>
          <w:b/>
          <w:color w:val="2E7D32"/>
          <w:sz w:val="16"/>
        </w:rPr>
        <w:t xml:space="preserve">CA-05. </w:t>
      </w:r>
      <w:r>
        <w:rPr>
          <w:rFonts w:ascii="Arial" w:hAnsi="Arial"/>
          <w:sz w:val="16"/>
        </w:rPr>
        <w:t>La aplicación impide emitir si faltan campos obligatorios o quedan tokens sin sustituir.</w:t>
      </w:r>
    </w:p>
    <w:p>
      <w:pPr>
        <w:spacing w:after="40"/>
      </w:pPr>
      <w:r>
        <w:rPr>
          <w:rFonts w:ascii="Arial" w:hAnsi="Arial"/>
          <w:b/>
          <w:color w:val="2E7D32"/>
          <w:sz w:val="16"/>
        </w:rPr>
        <w:t xml:space="preserve">CA-06. </w:t>
      </w:r>
      <w:r>
        <w:rPr>
          <w:rFonts w:ascii="Arial" w:hAnsi="Arial"/>
          <w:sz w:val="16"/>
        </w:rPr>
        <w:t>El documento emitido queda ligado al expediente, usuario, fecha/hora y versión del master.</w:t>
      </w:r>
    </w:p>
    <w:p>
      <w:pPr>
        <w:spacing w:after="40"/>
      </w:pPr>
      <w:r>
        <w:rPr>
          <w:rFonts w:ascii="Arial" w:hAnsi="Arial"/>
          <w:b/>
          <w:color w:val="2E7D32"/>
          <w:sz w:val="16"/>
        </w:rPr>
        <w:t xml:space="preserve">CA-07. </w:t>
      </w:r>
      <w:r>
        <w:rPr>
          <w:rFonts w:ascii="Arial" w:hAnsi="Arial"/>
          <w:sz w:val="16"/>
        </w:rPr>
        <w:t>Existe historial de estados y acciones administrativas.</w:t>
      </w:r>
    </w:p>
    <w:p>
      <w:pPr>
        <w:spacing w:after="40"/>
      </w:pPr>
      <w:r>
        <w:rPr>
          <w:rFonts w:ascii="Arial" w:hAnsi="Arial"/>
          <w:b/>
          <w:color w:val="2E7D32"/>
          <w:sz w:val="16"/>
        </w:rPr>
        <w:t xml:space="preserve">CA-08. </w:t>
      </w:r>
      <w:r>
        <w:rPr>
          <w:rFonts w:ascii="Arial" w:hAnsi="Arial"/>
          <w:sz w:val="16"/>
        </w:rPr>
        <w:t>La generación con más filas de rechazo/inmuebles produce paginación legible y repetible.</w:t>
      </w:r>
    </w:p>
    <w:p>
      <w:pPr>
        <w:spacing w:after="40"/>
      </w:pPr>
      <w:r>
        <w:rPr>
          <w:rFonts w:ascii="Arial" w:hAnsi="Arial"/>
          <w:b/>
          <w:color w:val="2E7D32"/>
          <w:sz w:val="16"/>
        </w:rPr>
        <w:t xml:space="preserve">CA-09. </w:t>
      </w:r>
      <w:r>
        <w:rPr>
          <w:rFonts w:ascii="Arial" w:hAnsi="Arial"/>
          <w:sz w:val="16"/>
        </w:rPr>
        <w:t>La salida INFORME TÉCNICO + RESOLUCIÓN mantiene íntegramente el machote final entregado como referencia de esta versión.</w:t>
      </w:r>
    </w:p>
    <w:p>
      <w:pPr>
        <w:spacing w:before="120" w:after="60"/>
      </w:pPr>
      <w:r>
        <w:rPr>
          <w:rFonts w:ascii="Arial" w:hAnsi="Arial"/>
          <w:b/>
          <w:color w:val="1F4E78"/>
          <w:sz w:val="26"/>
        </w:rPr>
        <w:t>11. Decisiones pendientes antes de programar</w:t>
      </w:r>
    </w:p>
    <w:p>
      <w:pPr>
        <w:pStyle w:val="ListBullet"/>
        <w:spacing w:after="40"/>
      </w:pPr>
      <w:r>
        <w:rPr>
          <w:rFonts w:ascii="Arial" w:hAnsi="Arial"/>
          <w:color w:val="C00000"/>
          <w:sz w:val="17"/>
        </w:rPr>
        <w:t>Confirmar el prefijo oficial: MS-FBI-RD o MS-DFBI-RD.</w:t>
      </w:r>
    </w:p>
    <w:p>
      <w:pPr>
        <w:pStyle w:val="ListBullet"/>
        <w:spacing w:after="40"/>
      </w:pPr>
      <w:r>
        <w:rPr>
          <w:rFonts w:ascii="Arial" w:hAnsi="Arial"/>
          <w:color w:val="C00000"/>
          <w:sz w:val="17"/>
        </w:rPr>
        <w:t>Definir de dónde sale el consecutivo anual y si se reserva al crear borrador o solo al emitir.</w:t>
      </w:r>
    </w:p>
    <w:p>
      <w:pPr>
        <w:pStyle w:val="ListBullet"/>
        <w:spacing w:after="40"/>
      </w:pPr>
      <w:r>
        <w:rPr>
          <w:rFonts w:ascii="Arial" w:hAnsi="Arial"/>
          <w:color w:val="C00000"/>
          <w:sz w:val="17"/>
        </w:rPr>
        <w:t>Definir si el plazo administrativo se calcula con días naturales, hábiles u otra regla; el machote únicamente dice “diez días”.</w:t>
      </w:r>
    </w:p>
    <w:p>
      <w:pPr>
        <w:pStyle w:val="ListBullet"/>
        <w:spacing w:after="40"/>
      </w:pPr>
      <w:r>
        <w:rPr>
          <w:rFonts w:ascii="Arial" w:hAnsi="Arial"/>
          <w:color w:val="C00000"/>
          <w:sz w:val="17"/>
        </w:rPr>
        <w:t>Definir cuántos inmuebles se permiten por oficio y si se genera un oficio por finca o uno por propietario con varias fincas.</w:t>
      </w:r>
    </w:p>
    <w:p>
      <w:pPr>
        <w:pStyle w:val="ListBullet"/>
        <w:spacing w:after="40"/>
      </w:pPr>
      <w:r>
        <w:rPr>
          <w:rFonts w:ascii="Arial" w:hAnsi="Arial"/>
          <w:color w:val="C00000"/>
          <w:sz w:val="17"/>
        </w:rPr>
        <w:t>Confirmar si el bloque gráfico del perito del machote es fijo institucional o debe cambiar según usuario/perito.</w:t>
      </w:r>
    </w:p>
    <w:p>
      <w:pPr>
        <w:pStyle w:val="ListBullet"/>
        <w:spacing w:after="40"/>
      </w:pPr>
      <w:r>
        <w:rPr>
          <w:rFonts w:ascii="Arial" w:hAnsi="Arial"/>
          <w:color w:val="C00000"/>
          <w:sz w:val="17"/>
        </w:rPr>
        <w:t>Confirmar si la salida PDF es obligatoria además del DOCX.</w:t>
      </w:r>
    </w:p>
    <w:p>
      <w:pPr>
        <w:pStyle w:val="ListBullet"/>
        <w:spacing w:after="40"/>
      </w:pPr>
      <w:r>
        <w:rPr>
          <w:rFonts w:ascii="Arial" w:hAnsi="Arial"/>
          <w:color w:val="C00000"/>
          <w:sz w:val="17"/>
        </w:rPr>
        <w:t>Relacionar los campos lógicos de esta especificación con los nombres reales de tablas/columnas/API de la aplicación.</w:t>
      </w:r>
    </w:p>
    <w:p>
      <w:pPr>
        <w:spacing w:before="120" w:after="60"/>
      </w:pPr>
      <w:r>
        <w:rPr>
          <w:rFonts w:ascii="Arial" w:hAnsi="Arial"/>
          <w:b/>
          <w:color w:val="1F4E78"/>
          <w:sz w:val="26"/>
        </w:rPr>
        <w:t>12. Entregables preparados</w:t>
      </w:r>
    </w:p>
    <w:p>
      <w:pPr>
        <w:pStyle w:val="ListBullet"/>
        <w:spacing w:after="30"/>
      </w:pPr>
      <w:r>
        <w:rPr>
          <w:rFonts w:ascii="Arial" w:hAnsi="Arial"/>
          <w:sz w:val="17"/>
        </w:rPr>
        <w:t>MS_FBI_RD_MACHOTE_APLICACION_V1.docx — copia parametrizada para generación automática, derivada del machote final entregado.</w:t>
      </w:r>
    </w:p>
    <w:p>
      <w:pPr>
        <w:pStyle w:val="ListBullet"/>
        <w:spacing w:after="30"/>
      </w:pPr>
      <w:r>
        <w:rPr>
          <w:rFonts w:ascii="Arial" w:hAnsi="Arial"/>
          <w:sz w:val="17"/>
        </w:rPr>
        <w:t>MS_FBI_RD_MAPA_CAMPOS_V1.json — contrato lógico de tokens, campos, fuentes y validaciones para implementación.</w:t>
      </w:r>
    </w:p>
    <w:p>
      <w:pPr>
        <w:pStyle w:val="ListBullet"/>
        <w:spacing w:after="30"/>
      </w:pPr>
      <w:r>
        <w:rPr>
          <w:rFonts w:ascii="Arial" w:hAnsi="Arial"/>
          <w:sz w:val="17"/>
        </w:rPr>
        <w:t>AUDITORIA_ESPECIFICACION_INFORMES_MS_FBI_RD_V2.docx — documento corregido de auditoría y alcance funcional; sustituye la redacción anterior que podía inducir a reabrir la arquitectura.</w:t>
      </w:r>
    </w:p>
    <w:p>
      <w:pPr>
        <w:spacing w:before="120" w:after="60"/>
      </w:pPr>
      <w:r>
        <w:rPr>
          <w:rFonts w:ascii="Arial" w:hAnsi="Arial"/>
          <w:b/>
          <w:color w:val="1F4E78"/>
          <w:sz w:val="26"/>
        </w:rPr>
        <w:t>13. Insumo faltante para implementar el submódulo en código</w:t>
      </w:r>
    </w:p>
    <w:p>
      <w:pPr>
        <w:spacing w:after="60" w:line="240" w:lineRule="auto"/>
      </w:pPr>
      <w:r>
        <w:rPr>
          <w:rFonts w:ascii="Arial" w:hAnsi="Arial"/>
          <w:sz w:val="18"/>
        </w:rPr>
        <w:t>Con los dos machotes ya es posible cerrar el diseño documental y el contrato de campos, pero no es posible insertar el submódulo MS_FBI_RD dentro del módulo INFORMES sin el código fuente o repositorio de la versión actual, su stack, la estructura de base de datos y el flujo/expediente de fiscalización existente. Al disponer de esos archivos se debe implementar sobre esta especificación, conservando el nombre INFORMES y sin reconstruir la arquitectura desde cero.</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4"/>
      </w:rPr>
      <w:t>Auditoría INFORMES · MS_FBI_RD · Municipalidad de Sarapiquí ·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y especificación · INFORMES · submódulo MS_FBI_RD</dc:title>
  <dc:subject>Fiscalización y rectificación de declaración del bien inmueble</dc:subject>
  <dc:creator>Municipalidad de Sarapiquí</dc:creator>
  <cp:keywords/>
  <dc:description>generated by python-docx</dc:description>
  <cp:lastModifiedBy>Municipalidad de Sarapiquí</cp:lastModifiedBy>
  <cp:revision>1</cp:revision>
  <dcterms:created xsi:type="dcterms:W3CDTF">2013-12-23T23:15:00Z</dcterms:created>
  <dcterms:modified xsi:type="dcterms:W3CDTF">2013-12-23T23:15:00Z</dcterms:modified>
  <cp:category/>
</cp:coreProperties>
</file>