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8"/>
            <w:tcMar>
              <w:top w:w="140" w:type="dxa"/>
              <w:start w:w="80" w:type="dxa"/>
              <w:bottom w:w="14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MUNICIPALIDAD DE SARAPIQUÍ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AUDITORÍA Y ESPECIFICACIÓN FUNCIONAL</w:t>
              <w:br/>
            </w:r>
            <w:r>
              <w:rPr>
                <w:rFonts w:ascii="Arial" w:hAnsi="Arial"/>
                <w:b/>
                <w:color w:val="FFFFFF"/>
                <w:sz w:val="22"/>
              </w:rPr>
              <w:t>Módulo INFORMES · Submódulo MS_FBI_RD · Rectificación de Declaración del Bien Inmueble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color w:val="666666"/>
          <w:sz w:val="16"/>
        </w:rPr>
        <w:t>Versión de trabajo: V1 · 23 de agosto de 2026</w:t>
      </w:r>
    </w:p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1. Alcance, ubicación funcional y machotes oficiales de esta versión</w:t>
      </w:r>
    </w:p>
    <w:p>
      <w:pPr>
        <w:spacing w:after="60" w:line="240" w:lineRule="auto"/>
      </w:pPr>
      <w:r>
        <w:rPr>
          <w:rFonts w:ascii="Arial" w:hAnsi="Arial"/>
          <w:sz w:val="18"/>
        </w:rPr>
        <w:t>Para esta versión se consideran fuentes visuales y documentales definitivas los dos archivos entregados por el usuario. La ubicación funcional correcta en la aplicación es el módulo INFORMES. El nombre “PRODUCTOS DE SALIDA” fue una sustitución errónea y no debe utilizarse como nombre del módulo. Los dos informes aquí tratados se generan a partir de la fiscalización. No se propone rediseñar su identidad gráfica ni modificar el texto legal sin una aprobación expresa.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Machote</w:t>
            </w:r>
          </w:p>
        </w:tc>
        <w:tc>
          <w:tcPr>
            <w:tcW w:type="dxa" w:w="2592"/>
            <w:shd w:fill="1F4E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592"/>
            <w:shd w:fill="1F4E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Identidad observada</w:t>
            </w:r>
          </w:p>
        </w:tc>
        <w:tc>
          <w:tcPr>
            <w:tcW w:type="dxa" w:w="2592"/>
            <w:shd w:fill="1F4E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Regla para la aplicación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Informe_Fiscalizacion_V01_MACHOTE_FINAL.docx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Informe técnico de inspección + resolución administrativa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Código BI-001 · Versión 1.0 · Julio 2026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Conservar como master final de fiscalización de esta versión.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MS-FBI-RD-01-2026_RECTIFICACION_FINAL.docx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Presentación de rectificación de declaración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Código BI-001 · Versión 1.0 · Julio 2026 · oficio impreso MS-DFBI-RD-01-2026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Usar como master visual de MS_FBI_RD; los datos del caso deben inyectarse dinámicamente.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2. Resultado de la auditoría</w:t>
      </w:r>
    </w:p>
    <w:p>
      <w:pPr>
        <w:spacing w:after="60" w:line="240" w:lineRule="auto"/>
      </w:pPr>
      <w:r>
        <w:rPr>
          <w:rFonts w:ascii="Arial" w:hAnsi="Arial"/>
          <w:sz w:val="18"/>
        </w:rPr>
        <w:t>A-00 · Arquitectura/nomenclatura del módulo: mantener el nombre existente INFORMES. Dentro de INFORMES se gestionan los dos informes generados desde la fiscalización: el Informe de Fiscalización y MS_FBI_RD. No renombrar este módulo como PRODUCTOS DE SALIDA.</w:t>
      </w:r>
    </w:p>
    <w:p>
      <w:pPr>
        <w:spacing w:after="60"/>
      </w:pPr>
      <w:r>
        <w:rPr>
          <w:rFonts w:ascii="Arial" w:hAnsi="Arial"/>
          <w:b/>
          <w:color w:val="1F4E78"/>
          <w:sz w:val="17"/>
        </w:rPr>
        <w:t xml:space="preserve">A-01 · Nomenclatura: </w:t>
      </w:r>
      <w:r>
        <w:rPr>
          <w:rFonts w:ascii="Arial" w:hAnsi="Arial"/>
          <w:sz w:val="17"/>
        </w:rPr>
        <w:t>Existe una diferencia que debe resolverse antes de automatizar la numeración: el nombre solicitado/archivo usa “MS-FBI-RD”, mientras que el oficio impreso del machote final usa “MS-DFBI-RD-01-2026”. Recomendación: mantener el identificador interno del submódulo como MS_FBI_RD y parametrizar el prefijo oficial; no cambiar el texto impreso hasta que se confirme cuál es el prefijo normativo.</w:t>
      </w:r>
    </w:p>
    <w:p>
      <w:pPr>
        <w:spacing w:after="60"/>
      </w:pPr>
      <w:r>
        <w:rPr>
          <w:rFonts w:ascii="Arial" w:hAnsi="Arial"/>
          <w:b/>
          <w:color w:val="1F4E78"/>
          <w:sz w:val="17"/>
        </w:rPr>
        <w:t xml:space="preserve">A-02 · Datos de ejemplo: </w:t>
      </w:r>
      <w:r>
        <w:rPr>
          <w:rFonts w:ascii="Arial" w:hAnsi="Arial"/>
          <w:sz w:val="17"/>
        </w:rPr>
        <w:t>El machote de rectificación contiene valores concretos de propietario, contacto e inmueble. Esos valores no deben quedar como defaults de la aplicación. El master de aplicación adjunto a esta auditoría los sustituye por tokens.</w:t>
      </w:r>
    </w:p>
    <w:p>
      <w:pPr>
        <w:spacing w:after="60"/>
      </w:pPr>
      <w:r>
        <w:rPr>
          <w:rFonts w:ascii="Arial" w:hAnsi="Arial"/>
          <w:b/>
          <w:color w:val="1F4E78"/>
          <w:sz w:val="17"/>
        </w:rPr>
        <w:t xml:space="preserve">A-03 · Plantilla no parametrizada: </w:t>
      </w:r>
      <w:r>
        <w:rPr>
          <w:rFonts w:ascii="Arial" w:hAnsi="Arial"/>
          <w:sz w:val="17"/>
        </w:rPr>
        <w:t>Los DOCX finales no contienen MERGEFIELD ni controles de contenido Word. Para generar documentos de forma segura se requiere una capa de plantillas basada en tokens o una manipulación OOXML/celdas controlada.</w:t>
      </w:r>
    </w:p>
    <w:p>
      <w:pPr>
        <w:spacing w:after="60"/>
      </w:pPr>
      <w:r>
        <w:rPr>
          <w:rFonts w:ascii="Arial" w:hAnsi="Arial"/>
          <w:b/>
          <w:color w:val="1F4E78"/>
          <w:sz w:val="17"/>
        </w:rPr>
        <w:t xml:space="preserve">A-04 · Cierre de fiscalización: </w:t>
      </w:r>
      <w:r>
        <w:rPr>
          <w:rFonts w:ascii="Arial" w:hAnsi="Arial"/>
          <w:sz w:val="17"/>
        </w:rPr>
        <w:t>El informe de fiscalización entregado puede mostrar “RESULTADO PENDIENTE” y criterios aún pendientes. La aplicación debe impedir que un caso se dé por resuelto si no se han completado los criterios que determinan el resultado.</w:t>
      </w:r>
    </w:p>
    <w:p>
      <w:pPr>
        <w:spacing w:after="60"/>
      </w:pPr>
      <w:r>
        <w:rPr>
          <w:rFonts w:ascii="Arial" w:hAnsi="Arial"/>
          <w:b/>
          <w:color w:val="1F4E78"/>
          <w:sz w:val="17"/>
        </w:rPr>
        <w:t xml:space="preserve">A-05 · Plazo de rectificación: </w:t>
      </w:r>
      <w:r>
        <w:rPr>
          <w:rFonts w:ascii="Arial" w:hAnsi="Arial"/>
          <w:sz w:val="17"/>
        </w:rPr>
        <w:t>El machote indica un plazo máximo de diez días a partir de la entrega de la notificación y menciona la valoración de oficio en caso de incumplimiento. Debe registrarse la fecha real de notificación. No conviene calcular automáticamente el vencimiento como días naturales o hábiles hasta que esa regla administrativa quede definida en la aplicación.</w:t>
      </w:r>
    </w:p>
    <w:p>
      <w:pPr>
        <w:spacing w:after="60"/>
      </w:pPr>
      <w:r>
        <w:rPr>
          <w:rFonts w:ascii="Arial" w:hAnsi="Arial"/>
          <w:b/>
          <w:color w:val="1F4E78"/>
          <w:sz w:val="17"/>
        </w:rPr>
        <w:t xml:space="preserve">A-06 · Cantidad de inmuebles/motivos: </w:t>
      </w:r>
      <w:r>
        <w:rPr>
          <w:rFonts w:ascii="Arial" w:hAnsi="Arial"/>
          <w:sz w:val="17"/>
        </w:rPr>
        <w:t>El texto habla de propiedades en plural, pero la composición visual muestra una fila principal de inmueble y dos filas de objeto/motivo. El submódulo debe soportar listas repetibles y reglas de paginación sin deformar el machote.</w:t>
      </w:r>
    </w:p>
    <w:p>
      <w:pPr>
        <w:spacing w:after="60"/>
      </w:pPr>
      <w:r>
        <w:rPr>
          <w:rFonts w:ascii="Arial" w:hAnsi="Arial"/>
          <w:b/>
          <w:color w:val="1F4E78"/>
          <w:sz w:val="17"/>
        </w:rPr>
        <w:t xml:space="preserve">A-07 · Firmas e identidad del perito: </w:t>
      </w:r>
      <w:r>
        <w:rPr>
          <w:rFonts w:ascii="Arial" w:hAnsi="Arial"/>
          <w:sz w:val="17"/>
        </w:rPr>
        <w:t>El pie del machote contempla firma del perito, notificador y receptor. Además, la composición visual incorpora un bloque gráfico personal del funcionario. Debe definirse si ese bloque es institucional fijo o si debe variar según el perito que emite.</w:t>
      </w:r>
    </w:p>
    <w:p>
      <w:pPr>
        <w:spacing w:after="60"/>
      </w:pPr>
      <w:r>
        <w:rPr>
          <w:rFonts w:ascii="Arial" w:hAnsi="Arial"/>
          <w:b/>
          <w:color w:val="1F4E78"/>
          <w:sz w:val="17"/>
        </w:rPr>
        <w:t xml:space="preserve">A-08 · Formatos de fecha: </w:t>
      </w:r>
      <w:r>
        <w:rPr>
          <w:rFonts w:ascii="Arial" w:hAnsi="Arial"/>
          <w:sz w:val="17"/>
        </w:rPr>
        <w:t>Los machotes usan distintos formatos de fecha según el contexto. La aplicación debe guardar fechas normalizadas y aplicar la máscara de presentación correspondiente a cada documento, sin forzar un único formato visual.</w:t>
      </w:r>
    </w:p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3. Solicitud funcional del submódulo MS_FBI_RD dentro de INFORMES</w:t>
      </w:r>
    </w:p>
    <w:p>
      <w:pPr>
        <w:spacing w:after="60" w:line="240" w:lineRule="auto"/>
      </w:pPr>
      <w:r>
        <w:rPr>
          <w:rFonts w:ascii="Arial" w:hAnsi="Arial"/>
          <w:sz w:val="18"/>
        </w:rPr>
        <w:t>Objetivo: crear dentro del módulo INFORMES de la aplicación el submódulo MS_FBI_RD, vinculado al expediente de fiscalización, capaz de preparar, emitir, almacenar y dar seguimiento al oficio de presentación de rectificación usando el machote final suministrado. No se crea ni se renombra el módulo principal; se conserva INFORMES.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Ubicación funcional: módulo INFORMES. MS_FBI_RD se genera desde los datos y resultados del expediente de fiscalización, junto con el Informe de Fiscalización.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Permitir abrir el submódulo desde un expediente de fiscalización para reutilizar propietario, inmueble y antecedentes sin recaptura.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Precargar los datos del propietario y de la finca desde el expediente/registro disponible; permitir corrección solo a usuarios autorizados.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Permitir seleccionar uno o más objetos de rechazo: TERRENO, CONSTRUCCIÓN y USO (AGO), con un resumen de motivo obligatorio por cada objeto seleccionado.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Asignar un número de oficio único y anual mediante un prefijo configurable.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Generar el DOCX a partir del machote definitivo; ofrecer vista previa antes de emitir y, si la aplicación ya dispone de motor PDF, generar también la salida PDF desde el mismo documento.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Registrar emisor/perito, fecha de emisión, notificador, persona que recibe, fecha real de notificación y observaciones.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Conservar una copia inmutable del documento emitido y la versión exacta del machote con que se generó.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Registrar trazabilidad de creación, edición, emisión, reimpresión, anulación y cambios de estado.</w:t>
      </w:r>
    </w:p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4. Flujo propuesto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E7D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2592"/>
            <w:shd w:fill="2E7D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592"/>
            <w:shd w:fill="2E7D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592"/>
            <w:shd w:fill="2E7D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Abrir expediente de fiscalización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Expediente válido y usuario con permiso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Datos base precargados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Crear rectificación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No debe existir otro borrador activo equivalente, salvo política definida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Registro en estado BORRADOR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Definir objeto(s) y motivo(s)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Al menos un objeto y un motivo no vacío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Rectificación completa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Validar datos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Campos obligatorios + consistencia propietario/inmueble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Habilita vista previa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Generar vista previa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No debe quedar ningún token sin sustituir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DOCX de previsualización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Emitir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Numeración anual atómica/única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Documento inmutable + estado EMITIDO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Registrar notificación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Fecha y receptor/notificador según corresponda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Estado NOTIFICADO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Dar seguimiento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Registrar recepción de rectificación o actuación posterior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Cierre o derivación del caso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5. Estados mínimos del submódulo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BORRADOR: editable y sin número definitivo, o con número reservado según la política que se adopte.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EMITIDO: documento generado y congelado; cualquier cambio posterior requiere anulación y nueva emisión o una política formal de reemisión.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NOTIFICADO: se registró la entrega/notificación y su fecha.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RECTIFICACIÓN RECIBIDA: el contribuyente presentó la actualización asociada.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CERRADO / DERIVADO A VALORACIÓN DE OFICIO: estado final según el resultado del seguimiento y la regla administrativa aplicable.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ANULADO: conserva el historial y la razón de anulación; nunca debe borrar el documento emitido del rastro de auditoría.</w:t>
      </w:r>
    </w:p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6. Datos que el submódulo debe manejar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2592"/>
            <w:shd w:fill="1F4E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Campos principales</w:t>
            </w:r>
          </w:p>
        </w:tc>
        <w:tc>
          <w:tcPr>
            <w:tcW w:type="dxa" w:w="2592"/>
            <w:shd w:fill="1F4E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2592"/>
            <w:shd w:fill="1F4E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Origen recomendado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Documento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oficio, fecha de emisión, versión de machote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Sí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secuencia/configuración + sistema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Propietario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nombre, identificación, dirección fiscal, provincia, cantón, distrito, teléfonos, correo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Nombre/ID/dirección sí; contactos según disponibilidad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expediente/registro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Representante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nombre, identificación, celular, fax, otro teléfono, zona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Condicional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expediente/registro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Inmueble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consecutivo DBI, finca, derecho, plano, distrito, dirección/folio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DBI/finca/derecho/distrito/dirección sí; plano según disponibilidad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declaración/registro/expediente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Rectificación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objeto(s), motivo(s) simplificado(s), observaciones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Al menos uno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captura de usuario + catálogo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Notificación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notificador, receptor, fecha de entrega, observaciones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Al notificar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captura de usuario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Auditoría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usuario, fecha/hora, acción, versión, hash o identificador de archivo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Sí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4"/>
              </w:rPr>
              <w:t>sistema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7. Reglas de validación y seguridad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No permitir EMITIR si falta propietario, identificación, finca, DBI, objeto de rechazo o motivo.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No permitir EMITIR si el DOCX resultante conserva tokens como «NOMBRE», «FINCA», «MOTIVO_1», etc.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Nunca usar los valores de ejemplo del archivo final como defaults de una nueva rectificación.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La numeración debe ser única, transaccional y auditable; dos usuarios no pueden obtener el mismo oficio.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Separar permisos: consultar, editar borrador, emitir, registrar notificación, anular y administrar configuración/numeración.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Después de emitir, conservar una instantánea inmutable del documento y de los datos usados para generarlo.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No modificar automáticamente el texto de los artículos 68 y 70 ni el plazo escrito en el machote mientras no exista una nueva versión formal del documento.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Proteger datos personales: el listado de documentos debe mostrar solo la información necesaria y respetar los permisos del expediente.</w:t>
      </w:r>
    </w:p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8. Lógica de generación documental</w:t>
      </w:r>
    </w:p>
    <w:p>
      <w:pPr>
        <w:spacing w:after="60" w:line="240" w:lineRule="auto"/>
      </w:pPr>
      <w:r>
        <w:rPr>
          <w:rFonts w:ascii="Arial" w:hAnsi="Arial"/>
          <w:sz w:val="18"/>
        </w:rPr>
        <w:t>Se creó junto con esta auditoría una copia parametrizada del machote final, denominada “MS_FBI_RD_MACHOTE_APLICACION_V1.docx”. Conserva la composición del documento y sustituye únicamente los valores concretos del caso por tokens. La aplicación debe trabajar sobre una copia temporal del master, reemplazar todos los tokens, validar que no queden pendientes y guardar el resultado emitido como archivo separado.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Master de entrada: MS_FBI_RD_MACHOTE_APLICACION_V1.docx.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Salida propuesta: nombre basado en número de oficio y finca; la convención exacta debe quedar configurable.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Mantener logo, marca de agua, encabezado, pie, tablas, textos legales, firmas y proporciones del machote final.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Si se agregan más inmuebles o motivos de los que caben en una página, clonar filas con estilos equivalentes y permitir salto de página controlado; nunca reducir la fuente hasta volver ilegible el documento.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Antes de liberar una nueva versión del master, ejecutar comparación visual contra el machote final aprobado.</w:t>
      </w:r>
    </w:p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9. Integración de los dos informes dentro del módulo INFORMES</w:t>
      </w:r>
    </w:p>
    <w:p>
      <w:pPr>
        <w:spacing w:after="60" w:line="240" w:lineRule="auto"/>
      </w:pPr>
      <w:r>
        <w:rPr>
          <w:rFonts w:ascii="Arial" w:hAnsi="Arial"/>
          <w:sz w:val="18"/>
        </w:rPr>
        <w:t>Dentro del módulo INFORMES, los dos productos documentales asociados a la fiscalización deben nacer del mismo expediente: (1) el Informe de Fiscalización, que integra el Informe Técnico de Inspección y la Resolución Administrativa, y (2) MS_FBI_RD, cuando corresponda la rectificación. Cuando el análisis técnico determine que la declaración requiere corrección, la interfaz debe habilitar la generación de MS_FBI_RD y reutilizar los datos ya verificados del inmueble, evitando recaptura e inconsistencias entre ambos informes.</w:t>
      </w:r>
    </w:p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10. Criterios de aceptación</w:t>
      </w:r>
    </w:p>
    <w:p>
      <w:pPr>
        <w:spacing w:after="40"/>
      </w:pPr>
      <w:r>
        <w:rPr>
          <w:rFonts w:ascii="Arial" w:hAnsi="Arial"/>
          <w:b/>
          <w:color w:val="2E7D32"/>
          <w:sz w:val="16"/>
        </w:rPr>
        <w:t xml:space="preserve">CA-01. </w:t>
      </w:r>
      <w:r>
        <w:rPr>
          <w:rFonts w:ascii="Arial" w:hAnsi="Arial"/>
          <w:sz w:val="16"/>
        </w:rPr>
        <w:t>El documento generado conserva la apariencia del machote MS-FBI-RD final en tamaño carta, incluyendo encabezado, colores, marca de agua, tablas, nota legal, firmas y pie.</w:t>
      </w:r>
    </w:p>
    <w:p>
      <w:pPr>
        <w:spacing w:after="40"/>
      </w:pPr>
      <w:r>
        <w:rPr>
          <w:rFonts w:ascii="Arial" w:hAnsi="Arial"/>
          <w:b/>
          <w:color w:val="2E7D32"/>
          <w:sz w:val="16"/>
        </w:rPr>
        <w:t xml:space="preserve">CA-02. </w:t>
      </w:r>
      <w:r>
        <w:rPr>
          <w:rFonts w:ascii="Arial" w:hAnsi="Arial"/>
          <w:sz w:val="16"/>
        </w:rPr>
        <w:t>Ningún documento nuevo contiene datos del propietario o inmueble usados en el archivo de ejemplo.</w:t>
      </w:r>
    </w:p>
    <w:p>
      <w:pPr>
        <w:spacing w:after="40"/>
      </w:pPr>
      <w:r>
        <w:rPr>
          <w:rFonts w:ascii="Arial" w:hAnsi="Arial"/>
          <w:b/>
          <w:color w:val="2E7D32"/>
          <w:sz w:val="16"/>
        </w:rPr>
        <w:t xml:space="preserve">CA-03. </w:t>
      </w:r>
      <w:r>
        <w:rPr>
          <w:rFonts w:ascii="Arial" w:hAnsi="Arial"/>
          <w:sz w:val="16"/>
        </w:rPr>
        <w:t>El número de oficio y la fecha se muestran en la misma ubicación visual del machote final.</w:t>
      </w:r>
    </w:p>
    <w:p>
      <w:pPr>
        <w:spacing w:after="40"/>
      </w:pPr>
      <w:r>
        <w:rPr>
          <w:rFonts w:ascii="Arial" w:hAnsi="Arial"/>
          <w:b/>
          <w:color w:val="2E7D32"/>
          <w:sz w:val="16"/>
        </w:rPr>
        <w:t xml:space="preserve">CA-04. </w:t>
      </w:r>
      <w:r>
        <w:rPr>
          <w:rFonts w:ascii="Arial" w:hAnsi="Arial"/>
          <w:sz w:val="16"/>
        </w:rPr>
        <w:t>Los datos de propietario, inmueble y rechazo se inyectan sin cortar texto ni superponer celdas.</w:t>
      </w:r>
    </w:p>
    <w:p>
      <w:pPr>
        <w:spacing w:after="40"/>
      </w:pPr>
      <w:r>
        <w:rPr>
          <w:rFonts w:ascii="Arial" w:hAnsi="Arial"/>
          <w:b/>
          <w:color w:val="2E7D32"/>
          <w:sz w:val="16"/>
        </w:rPr>
        <w:t xml:space="preserve">CA-05. </w:t>
      </w:r>
      <w:r>
        <w:rPr>
          <w:rFonts w:ascii="Arial" w:hAnsi="Arial"/>
          <w:sz w:val="16"/>
        </w:rPr>
        <w:t>La aplicación impide emitir si faltan campos obligatorios o quedan tokens sin sustituir.</w:t>
      </w:r>
    </w:p>
    <w:p>
      <w:pPr>
        <w:spacing w:after="40"/>
      </w:pPr>
      <w:r>
        <w:rPr>
          <w:rFonts w:ascii="Arial" w:hAnsi="Arial"/>
          <w:b/>
          <w:color w:val="2E7D32"/>
          <w:sz w:val="16"/>
        </w:rPr>
        <w:t xml:space="preserve">CA-06. </w:t>
      </w:r>
      <w:r>
        <w:rPr>
          <w:rFonts w:ascii="Arial" w:hAnsi="Arial"/>
          <w:sz w:val="16"/>
        </w:rPr>
        <w:t>El documento emitido queda ligado al expediente, usuario, fecha/hora y versión del master.</w:t>
      </w:r>
    </w:p>
    <w:p>
      <w:pPr>
        <w:spacing w:after="40"/>
      </w:pPr>
      <w:r>
        <w:rPr>
          <w:rFonts w:ascii="Arial" w:hAnsi="Arial"/>
          <w:b/>
          <w:color w:val="2E7D32"/>
          <w:sz w:val="16"/>
        </w:rPr>
        <w:t xml:space="preserve">CA-07. </w:t>
      </w:r>
      <w:r>
        <w:rPr>
          <w:rFonts w:ascii="Arial" w:hAnsi="Arial"/>
          <w:sz w:val="16"/>
        </w:rPr>
        <w:t>Existe historial de estados y acciones administrativas.</w:t>
      </w:r>
    </w:p>
    <w:p>
      <w:pPr>
        <w:spacing w:after="40"/>
      </w:pPr>
      <w:r>
        <w:rPr>
          <w:rFonts w:ascii="Arial" w:hAnsi="Arial"/>
          <w:b/>
          <w:color w:val="2E7D32"/>
          <w:sz w:val="16"/>
        </w:rPr>
        <w:t xml:space="preserve">CA-08. </w:t>
      </w:r>
      <w:r>
        <w:rPr>
          <w:rFonts w:ascii="Arial" w:hAnsi="Arial"/>
          <w:sz w:val="16"/>
        </w:rPr>
        <w:t>La generación con más filas de rechazo/inmuebles produce paginación legible y repetible.</w:t>
      </w:r>
    </w:p>
    <w:p>
      <w:pPr>
        <w:spacing w:after="40"/>
      </w:pPr>
      <w:r>
        <w:rPr>
          <w:rFonts w:ascii="Arial" w:hAnsi="Arial"/>
          <w:b/>
          <w:color w:val="2E7D32"/>
          <w:sz w:val="16"/>
        </w:rPr>
        <w:t xml:space="preserve">CA-09. </w:t>
      </w:r>
      <w:r>
        <w:rPr>
          <w:rFonts w:ascii="Arial" w:hAnsi="Arial"/>
          <w:sz w:val="16"/>
        </w:rPr>
        <w:t>La resolución/informe de fiscalización mantiene el machote final entregado como referencia de la misma versión.</w:t>
      </w:r>
    </w:p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11. Decisiones pendientes antes de programar</w:t>
      </w:r>
    </w:p>
    <w:p>
      <w:pPr>
        <w:pStyle w:val="ListBullet"/>
        <w:spacing w:after="40"/>
      </w:pPr>
      <w:r>
        <w:rPr>
          <w:rFonts w:ascii="Arial" w:hAnsi="Arial"/>
          <w:color w:val="C00000"/>
          <w:sz w:val="17"/>
        </w:rPr>
        <w:t>Confirmar el prefijo oficial: MS-FBI-RD o MS-DFBI-RD.</w:t>
      </w:r>
    </w:p>
    <w:p>
      <w:pPr>
        <w:pStyle w:val="ListBullet"/>
        <w:spacing w:after="40"/>
      </w:pPr>
      <w:r>
        <w:rPr>
          <w:rFonts w:ascii="Arial" w:hAnsi="Arial"/>
          <w:color w:val="C00000"/>
          <w:sz w:val="17"/>
        </w:rPr>
        <w:t>Definir de dónde sale el consecutivo anual y si se reserva al crear borrador o solo al emitir.</w:t>
      </w:r>
    </w:p>
    <w:p>
      <w:pPr>
        <w:pStyle w:val="ListBullet"/>
        <w:spacing w:after="40"/>
      </w:pPr>
      <w:r>
        <w:rPr>
          <w:rFonts w:ascii="Arial" w:hAnsi="Arial"/>
          <w:color w:val="C00000"/>
          <w:sz w:val="17"/>
        </w:rPr>
        <w:t>Definir si el plazo administrativo se calcula con días naturales, hábiles u otra regla; el machote únicamente dice “diez días”.</w:t>
      </w:r>
    </w:p>
    <w:p>
      <w:pPr>
        <w:pStyle w:val="ListBullet"/>
        <w:spacing w:after="40"/>
      </w:pPr>
      <w:r>
        <w:rPr>
          <w:rFonts w:ascii="Arial" w:hAnsi="Arial"/>
          <w:color w:val="C00000"/>
          <w:sz w:val="17"/>
        </w:rPr>
        <w:t>Definir cuántos inmuebles se permiten por oficio y si se genera un oficio por finca o uno por propietario con varias fincas.</w:t>
      </w:r>
    </w:p>
    <w:p>
      <w:pPr>
        <w:pStyle w:val="ListBullet"/>
        <w:spacing w:after="40"/>
      </w:pPr>
      <w:r>
        <w:rPr>
          <w:rFonts w:ascii="Arial" w:hAnsi="Arial"/>
          <w:color w:val="C00000"/>
          <w:sz w:val="17"/>
        </w:rPr>
        <w:t>Confirmar si el bloque gráfico del perito del machote es fijo institucional o debe cambiar según usuario/perito.</w:t>
      </w:r>
    </w:p>
    <w:p>
      <w:pPr>
        <w:pStyle w:val="ListBullet"/>
        <w:spacing w:after="40"/>
      </w:pPr>
      <w:r>
        <w:rPr>
          <w:rFonts w:ascii="Arial" w:hAnsi="Arial"/>
          <w:color w:val="C00000"/>
          <w:sz w:val="17"/>
        </w:rPr>
        <w:t>Confirmar si la salida PDF es obligatoria además del DOCX.</w:t>
      </w:r>
    </w:p>
    <w:p>
      <w:pPr>
        <w:pStyle w:val="ListBullet"/>
        <w:spacing w:after="40"/>
      </w:pPr>
      <w:r>
        <w:rPr>
          <w:rFonts w:ascii="Arial" w:hAnsi="Arial"/>
          <w:color w:val="C00000"/>
          <w:sz w:val="17"/>
        </w:rPr>
        <w:t>Relacionar los campos lógicos de esta especificación con los nombres reales de tablas/columnas/API de la aplicación.</w:t>
      </w:r>
    </w:p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12. Entregables preparados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MS_FBI_RD_MACHOTE_APLICACION_V1.docx — copia parametrizada para generación automática, derivada del machote final entregado.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MS_FBI_RD_MAPA_CAMPOS_V1.json — contrato lógico de tokens, campos, fuentes y validaciones para implementación.</w:t>
      </w:r>
    </w:p>
    <w:p>
      <w:pPr>
        <w:pStyle w:val="ListBullet"/>
        <w:spacing w:after="30"/>
      </w:pPr>
      <w:r>
        <w:rPr>
          <w:rFonts w:ascii="Arial" w:hAnsi="Arial"/>
          <w:sz w:val="17"/>
        </w:rPr>
        <w:t>AUDITORIA_ESPECIFICACION_SUBMODULO_MS_FBI_RD_V1.docx — este documento de auditoría y alcance funcional.</w:t>
      </w:r>
    </w:p>
    <w:p>
      <w:pPr>
        <w:spacing w:before="120" w:after="60"/>
      </w:pPr>
      <w:r>
        <w:rPr>
          <w:rFonts w:ascii="Arial" w:hAnsi="Arial"/>
          <w:b/>
          <w:color w:val="1F4E78"/>
          <w:sz w:val="26"/>
        </w:rPr>
        <w:t>13. Insumo faltante para implementar el submódulo en código</w:t>
      </w:r>
    </w:p>
    <w:p>
      <w:pPr>
        <w:spacing w:after="60" w:line="240" w:lineRule="auto"/>
      </w:pPr>
      <w:r>
        <w:rPr>
          <w:rFonts w:ascii="Arial" w:hAnsi="Arial"/>
          <w:sz w:val="18"/>
        </w:rPr>
        <w:t>Con los dos machotes ya es posible cerrar el diseño documental y el contrato de campos, pero no es posible insertar el submódulo MS_FBI_RD dentro del módulo INFORMES sin el código fuente o repositorio de la versión actual, su stack, la estructura de base de datos y el flujo/expediente de fiscalización existente. Al disponer de esos archivos se debe implementar sobre esta especificación, conservando el nombre INFORMES y sin reconstruir la arquitectura desde cero.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4"/>
      </w:rPr>
      <w:t>Auditoría MS_FBI_RD · Municipalidad de Sarapiquí ·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y especificación · INFORMES · submódulo MS_FBI_RD</dc:title>
  <dc:subject>Fiscalización y rectificación de declaración del bien inmueble</dc:subject>
  <dc:creator>Municipalidad de Sarapiquí</dc:creator>
  <cp:keywords/>
  <dc:description>generated by python-docx</dc:description>
  <cp:lastModifiedBy>Municipalidad de Sarapiquí</cp:lastModifiedBy>
  <cp:revision>1</cp:revision>
  <dcterms:created xsi:type="dcterms:W3CDTF">2013-12-23T23:15:00Z</dcterms:created>
  <dcterms:modified xsi:type="dcterms:W3CDTF">2013-12-23T23:15:00Z</dcterms:modified>
  <cp:category/>
</cp:coreProperties>
</file>