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ptos Display" w:hAnsi="Aptos Display"/>
          <w:b/>
          <w:sz w:val="36"/>
        </w:rPr>
        <w:t>Kristen Boardman</w:t>
      </w:r>
    </w:p>
    <w:p>
      <w:pPr>
        <w:spacing w:before="0" w:after="40" w:line="240" w:lineRule="auto"/>
        <w:jc w:val="center"/>
      </w:pPr>
      <w:r>
        <w:rPr>
          <w:i w:val="0"/>
          <w:sz w:val="21"/>
        </w:rPr>
        <w:t>Professional Services Leadership | SaaS Implementation Delivery | Life Sciences</w:t>
      </w:r>
    </w:p>
    <w:p>
      <w:pPr>
        <w:spacing w:before="0" w:after="120" w:line="240" w:lineRule="auto"/>
        <w:jc w:val="center"/>
        <w:pBdr>
          <w:bottom w:val="single" w:sz="10" w:space="1" w:color="355C7D"/>
        </w:pBdr>
      </w:pPr>
      <w:r>
        <w:rPr>
          <w:sz w:val="19"/>
        </w:rPr>
        <w:t>Rumson, NJ  |  (732) 673-3222  |  krisboardman@yahoo.com  |  LinkedIn</w:t>
      </w:r>
    </w:p>
    <w:p>
      <w:pPr>
        <w:spacing w:before="40" w:after="60" w:line="240" w:lineRule="auto"/>
      </w:pPr>
      <w:r>
        <w:rPr>
          <w:rFonts w:ascii="Aptos" w:hAnsi="Aptos"/>
          <w:b/>
          <w:color w:val="355C7D"/>
          <w:sz w:val="21"/>
        </w:rPr>
        <w:t>PROFESSIONAL SUMMARY</w:t>
      </w:r>
    </w:p>
    <w:p>
      <w:pPr>
        <w:spacing w:after="120" w:line="259" w:lineRule="auto"/>
      </w:pPr>
      <w:r>
        <w:t>Professional services and operations leader with 15+ years of experience in SaaS implementation delivery, resource management, vendor leadership, onboarding, project finance, and cross-functional services operations within life sciences. Proven track record supporting customer success from implementation through ongoing delivery, aligning staffing to demand, improving utilization visibility, standardizing processes, and partnering across Sales, Services, Finance, and leadership teams. Recently expanded scope to manage project managers, providing coaching, prioritization, and delivery oversight in a fast-paced customer environment.</w:t>
      </w:r>
    </w:p>
    <w:p>
      <w:pPr>
        <w:spacing w:before="40" w:after="60" w:line="240" w:lineRule="auto"/>
      </w:pPr>
      <w:r>
        <w:rPr>
          <w:rFonts w:ascii="Aptos" w:hAnsi="Aptos"/>
          <w:b/>
          <w:color w:val="355C7D"/>
          <w:sz w:val="21"/>
        </w:rPr>
        <w:t>CORE QUALIFICATIONS</w:t>
      </w:r>
    </w:p>
    <w:tbl>
      <w:tblPr>
        <w:tblW w:type="auto" w:w="0"/>
        <w:jc w:val="center"/>
        <w:tblLayout w:type="fixed"/>
        <w:tblLook w:firstColumn="1" w:firstRow="1" w:lastColumn="0" w:lastRow="0" w:noHBand="0" w:noVBand="1" w:val="04A0"/>
      </w:tblPr>
      <w:tblGrid>
        <w:gridCol w:w="5184"/>
        <w:gridCol w:w="5184"/>
      </w:tblGrid>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Professional Services Leadership</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SaaS Implementation Delivery</w:t>
            </w:r>
          </w:p>
        </w:tc>
      </w:tr>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People Management &amp; Coaching</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Resource Planning &amp; Utilization</w:t>
            </w:r>
          </w:p>
        </w:tc>
      </w:tr>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Customer Success &amp; Delivery Oversight</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Vendor &amp; Partner Management</w:t>
            </w:r>
          </w:p>
        </w:tc>
      </w:tr>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Pre-Sales / Services Handoff</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Escalation Support</w:t>
            </w:r>
          </w:p>
        </w:tc>
      </w:tr>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Operational Excellence &amp; SOPs</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Project Finance &amp; Forecasting</w:t>
            </w:r>
          </w:p>
        </w:tc>
      </w:tr>
      <w:tr>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Cross-Functional Stakeholder Leadership</w:t>
            </w:r>
          </w:p>
        </w:tc>
        <w:tc>
          <w:tcPr>
            <w:tcW w:type="dxa" w:w="5328"/>
            <w:tcBorders>
              <w:top w:val="single" w:sz="4" w:color="D9E2F0"/>
              <w:left w:val="single" w:sz="4" w:color="D9E2F0"/>
              <w:bottom w:val="single" w:sz="4" w:color="D9E2F0"/>
              <w:right w:val="single" w:sz="4" w:color="D9E2F0"/>
            </w:tcBorders>
            <w:tcMar>
              <w:top w:w="90" w:type="dxa"/>
              <w:left w:w="90" w:type="dxa"/>
              <w:bottom w:w="90" w:type="dxa"/>
              <w:right w:w="90" w:type="dxa"/>
            </w:tcMar>
          </w:tcPr>
          <w:p>
            <w:pPr>
              <w:spacing w:after="0" w:before="0" w:line="240" w:lineRule="auto"/>
            </w:pPr>
            <w:r>
              <w:rPr>
                <w:sz w:val="20"/>
              </w:rPr>
              <w:t>Reporting, Dashboards &amp; Analytics</w:t>
            </w:r>
          </w:p>
        </w:tc>
      </w:tr>
    </w:tbl>
    <w:p/>
    <w:p>
      <w:pPr>
        <w:spacing w:before="40" w:after="60" w:line="240" w:lineRule="auto"/>
      </w:pPr>
      <w:r>
        <w:rPr>
          <w:rFonts w:ascii="Aptos" w:hAnsi="Aptos"/>
          <w:b/>
          <w:color w:val="355C7D"/>
          <w:sz w:val="21"/>
        </w:rPr>
        <w:t>PROFESSIONAL EXPERIENCE</w:t>
      </w:r>
    </w:p>
    <w:p>
      <w:pPr>
        <w:spacing w:before="0" w:after="0" w:line="240" w:lineRule="auto"/>
      </w:pPr>
      <w:r>
        <w:rPr>
          <w:rFonts w:ascii="Aptos" w:hAnsi="Aptos"/>
          <w:b/>
          <w:sz w:val="22"/>
        </w:rPr>
        <w:t>Sparta Systems (a Honeywell Company), Hamilton, NJ</w:t>
      </w:r>
      <w:r>
        <w:rPr>
          <w:i/>
          <w:sz w:val="21"/>
        </w:rPr>
        <w:t xml:space="preserve"> | June 2007 – April 2024</w:t>
      </w:r>
    </w:p>
    <w:p>
      <w:pPr>
        <w:spacing w:before="0" w:after="60" w:line="240" w:lineRule="auto"/>
      </w:pPr>
      <w:r>
        <w:rPr>
          <w:b/>
          <w:sz w:val="21"/>
        </w:rPr>
        <w:t>Director, Professional Services Operations</w:t>
      </w:r>
    </w:p>
    <w:p>
      <w:pPr>
        <w:spacing w:after="60" w:line="252" w:lineRule="auto"/>
        <w:ind w:left="259" w:hanging="230"/>
      </w:pPr>
      <w:r>
        <w:rPr>
          <w:b/>
        </w:rPr>
        <w:t xml:space="preserve">• </w:t>
      </w:r>
      <w:r>
        <w:t>Led global professional services operations supporting SaaS implementation delivery for a complex life sciences customer base, with responsibility for resourcing, onboarding, vendor performance, project finance, and operational readiness.</w:t>
      </w:r>
    </w:p>
    <w:p>
      <w:pPr>
        <w:spacing w:after="60" w:line="252" w:lineRule="auto"/>
        <w:ind w:left="259" w:hanging="230"/>
      </w:pPr>
      <w:r>
        <w:rPr>
          <w:b/>
        </w:rPr>
        <w:t xml:space="preserve">• </w:t>
      </w:r>
      <w:r>
        <w:t>Partnered with Sales, Services, Finance, and executive leadership to align staffing, delivery readiness, and operational priorities with pipeline demand, customer commitments, and business goals.</w:t>
      </w:r>
    </w:p>
    <w:p>
      <w:pPr>
        <w:spacing w:after="60" w:line="252" w:lineRule="auto"/>
        <w:ind w:left="259" w:hanging="230"/>
      </w:pPr>
      <w:r>
        <w:rPr>
          <w:b/>
        </w:rPr>
        <w:t xml:space="preserve">• </w:t>
      </w:r>
      <w:r>
        <w:t>Managed supply and demand across the delivery organization by improving resource visibility, utilization tracking, forecasting, and pipeline transparency through dashboards and reporting in Salesforce, Sage, Power BI, and Tableau.</w:t>
      </w:r>
    </w:p>
    <w:p>
      <w:pPr>
        <w:spacing w:after="60" w:line="252" w:lineRule="auto"/>
        <w:ind w:left="259" w:hanging="230"/>
      </w:pPr>
      <w:r>
        <w:rPr>
          <w:b/>
        </w:rPr>
        <w:t xml:space="preserve">• </w:t>
      </w:r>
      <w:r>
        <w:t>Expanded leadership scope to manage project managers in addition to back-end operations responsibilities, providing coaching, prioritization, guidance, and oversight to support successful customer delivery.</w:t>
      </w:r>
    </w:p>
    <w:p>
      <w:pPr>
        <w:spacing w:after="60" w:line="252" w:lineRule="auto"/>
        <w:ind w:left="259" w:hanging="230"/>
      </w:pPr>
      <w:r>
        <w:rPr>
          <w:b/>
        </w:rPr>
        <w:t xml:space="preserve">• </w:t>
      </w:r>
      <w:r>
        <w:t>Supported delivery success through cross-functional coordination, escalation management, and operational follow-through across internal teams, partners, and leadership stakeholders.</w:t>
      </w:r>
    </w:p>
    <w:p>
      <w:pPr>
        <w:spacing w:after="60" w:line="252" w:lineRule="auto"/>
        <w:ind w:left="259" w:hanging="230"/>
      </w:pPr>
      <w:r>
        <w:rPr>
          <w:b/>
        </w:rPr>
        <w:t xml:space="preserve">• </w:t>
      </w:r>
      <w:r>
        <w:t>Developed and standardized SOPs, workflows, onboarding processes, and knowledge resources to improve implementation consistency, team accountability, and service delivery quality.</w:t>
      </w:r>
    </w:p>
    <w:p>
      <w:pPr>
        <w:spacing w:after="60" w:line="252" w:lineRule="auto"/>
        <w:ind w:left="259" w:hanging="230"/>
      </w:pPr>
      <w:r>
        <w:rPr>
          <w:b/>
        </w:rPr>
        <w:t xml:space="preserve">• </w:t>
      </w:r>
      <w:r>
        <w:t>Managed global vendor relationships including selection, onboarding, performance monitoring, issue resolution, and ongoing support to strengthen delivery capacity and customer outcomes.</w:t>
      </w:r>
    </w:p>
    <w:p>
      <w:pPr>
        <w:spacing w:after="60" w:line="252" w:lineRule="auto"/>
        <w:ind w:left="259" w:hanging="230"/>
      </w:pPr>
      <w:r>
        <w:rPr>
          <w:b/>
        </w:rPr>
        <w:t xml:space="preserve">• </w:t>
      </w:r>
      <w:r>
        <w:t>Collaborated with Finance on budgeting, backlog management, reconciliation, and revenue forecasting to support sound delivery decisions and operational excellence.</w:t>
      </w:r>
    </w:p>
    <w:p>
      <w:pPr>
        <w:spacing w:after="60" w:line="252" w:lineRule="auto"/>
        <w:ind w:left="259" w:hanging="230"/>
      </w:pPr>
      <w:r>
        <w:rPr>
          <w:b/>
        </w:rPr>
        <w:t xml:space="preserve">• </w:t>
      </w:r>
      <w:r>
        <w:t>Provided executive-level reporting and monthly operational reviews to surface risks, trends, and improvement opportunities across the services organization.</w:t>
      </w:r>
    </w:p>
    <w:p>
      <w:pPr>
        <w:spacing w:before="80" w:after="20" w:line="240" w:lineRule="auto"/>
      </w:pPr>
      <w:r>
        <w:rPr>
          <w:b/>
          <w:sz w:val="21"/>
        </w:rPr>
        <w:t>Earlier Roles at Sparta Systems</w:t>
      </w:r>
    </w:p>
    <w:p>
      <w:pPr>
        <w:spacing w:after="60" w:line="252" w:lineRule="auto"/>
        <w:ind w:left="259" w:hanging="230"/>
      </w:pPr>
      <w:r>
        <w:rPr>
          <w:b/>
        </w:rPr>
        <w:t xml:space="preserve">• </w:t>
      </w:r>
      <w:r>
        <w:t>Global Project Manager – Led software implementations and upgrades for Fortune 500 clients in the life sciences sector, managing staffing, timelines, budgets, and customer engagement across complex delivery initiatives.</w:t>
      </w:r>
    </w:p>
    <w:p>
      <w:pPr>
        <w:spacing w:after="60" w:line="252" w:lineRule="auto"/>
        <w:ind w:left="259" w:hanging="230"/>
      </w:pPr>
      <w:r>
        <w:rPr>
          <w:b/>
        </w:rPr>
        <w:t xml:space="preserve">• </w:t>
      </w:r>
      <w:r>
        <w:t>Customer Engagement Manager – Supported proposals, project documentation, requirements gathering, and handoffs between sales and delivery teams to improve readiness and customer alignment.</w:t>
      </w:r>
    </w:p>
    <w:p>
      <w:pPr>
        <w:spacing w:before="40" w:after="60" w:line="240" w:lineRule="auto"/>
      </w:pPr>
      <w:r>
        <w:rPr>
          <w:rFonts w:ascii="Aptos" w:hAnsi="Aptos"/>
          <w:b/>
          <w:color w:val="355C7D"/>
          <w:sz w:val="21"/>
        </w:rPr>
        <w:t>ADDITIONAL EXPERIENCE</w:t>
      </w:r>
    </w:p>
    <w:p>
      <w:pPr>
        <w:spacing w:before="0" w:after="40" w:line="240" w:lineRule="auto"/>
      </w:pPr>
      <w:r>
        <w:rPr>
          <w:b/>
        </w:rPr>
        <w:t>Airtable Developer / Freelance Consultant</w:t>
      </w:r>
      <w:r>
        <w:t xml:space="preserve"> | 2024–Present</w:t>
      </w:r>
    </w:p>
    <w:p>
      <w:pPr>
        <w:spacing w:before="0" w:after="40" w:line="240" w:lineRule="auto"/>
      </w:pPr>
      <w:r>
        <w:rPr>
          <w:b/>
        </w:rPr>
        <w:t>Crystal Reports Consultant / Web Design Contractor</w:t>
      </w:r>
      <w:r>
        <w:t xml:space="preserve"> | 2006–2007</w:t>
      </w:r>
    </w:p>
    <w:p>
      <w:pPr>
        <w:spacing w:before="0" w:after="120" w:line="240" w:lineRule="auto"/>
      </w:pPr>
      <w:r>
        <w:rPr>
          <w:b/>
        </w:rPr>
        <w:t>Director of Sales Support, Depot America</w:t>
      </w:r>
      <w:r>
        <w:t xml:space="preserve"> | 2000–2006</w:t>
      </w:r>
    </w:p>
    <w:p>
      <w:pPr>
        <w:spacing w:before="40" w:after="60" w:line="240" w:lineRule="auto"/>
      </w:pPr>
      <w:r>
        <w:rPr>
          <w:rFonts w:ascii="Aptos" w:hAnsi="Aptos"/>
          <w:b/>
          <w:color w:val="355C7D"/>
          <w:sz w:val="21"/>
        </w:rPr>
        <w:t>EDUCATION &amp; CERTIFICATIONS</w:t>
      </w:r>
    </w:p>
    <w:p>
      <w:pPr>
        <w:spacing w:before="0" w:after="60" w:line="240" w:lineRule="auto"/>
      </w:pPr>
      <w:r>
        <w:rPr>
          <w:b/>
        </w:rPr>
        <w:t>PMP Certified</w:t>
      </w:r>
      <w:r>
        <w:t xml:space="preserve"> | ISO 9000 Certified | Dale Carnegie Graduate | Mastering Airtable Certification</w:t>
      </w:r>
    </w:p>
    <w:p>
      <w:pPr>
        <w:spacing w:before="0" w:after="120" w:line="240" w:lineRule="auto"/>
      </w:pPr>
      <w:r>
        <w:rPr>
          <w:b/>
        </w:rPr>
        <w:t>B.A., Communications</w:t>
      </w:r>
      <w:r>
        <w:t xml:space="preserve"> – Rutgers University</w:t>
      </w:r>
      <w:r>
        <w:t xml:space="preserve"> | </w:t>
      </w:r>
      <w:r>
        <w:rPr>
          <w:b/>
        </w:rPr>
        <w:t>B.A., American Studies</w:t>
      </w:r>
      <w:r>
        <w:t xml:space="preserve"> – Rutgers University</w:t>
      </w:r>
    </w:p>
    <w:p>
      <w:pPr>
        <w:spacing w:before="40" w:after="60" w:line="240" w:lineRule="auto"/>
      </w:pPr>
      <w:r>
        <w:rPr>
          <w:rFonts w:ascii="Aptos" w:hAnsi="Aptos"/>
          <w:b/>
          <w:color w:val="355C7D"/>
          <w:sz w:val="21"/>
        </w:rPr>
        <w:t>TECHNOLOGY</w:t>
      </w:r>
    </w:p>
    <w:p>
      <w:pPr>
        <w:spacing w:before="0" w:after="0" w:line="240" w:lineRule="auto"/>
      </w:pPr>
      <w:r>
        <w:t>SAP | Salesforce | Sage | Power BI | Tableau | Crystal Reports | Microsoft Office | Google Workspace | ChatGPT | Claude</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