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Approach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 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Launch a simple web site in a load balanced and highly available manner utilizing automation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AWS bestpractices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VPC withprivate/public subnets andall requireddependentinfrastructure (DO NOT USE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DEFAULT VPC)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ELB to be used to register web server instances.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Include a simple health check to make sure the web servers are responding.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health check should automatically replace instances if they are unhealthy, and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instances should come back into service on their own.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Auto Scaling Group and Launch Configuration that launches EC2 instances and registers them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to the ELB.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Establish a minimum, maximum, and desired server countthat scales up/downbased 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 metric of your choice (and be able to demonstrate a scaling event).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Security Group allowing HTTP traffic to load balancer from anywhere (not directly to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instance(s))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Security Group allowing only HTTP traffic from the load balancer to the instance(s)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Remote management ports such as SSH and RDP must not be open to the world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Some kind of automation or scripting that achieves the following: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Install a web server (your choice – Apache and Nginx are common examples)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Deploys a simple “hello world” page for the web server to serve 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Can be written in the language of your choice (HTML, PHP, etc)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Can be sourced from the location of your choice (S3, cookbook file/ template, etc)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Must include the server’s hostname in the “hello world” presented to the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All AWS resources must be created using Terraform or CloudFormation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No resources may be created or managed by hand other than EC2 SSH keys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PROJECT-2: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1.3 OBJECTIVE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Launch a simple API utilizing automation and AWS best practices.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1.4 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DynamoDB 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Must contain multiple unique records (sample structure provided below, you may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determine your own schema as desired)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Lambda Function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Must be written in a language supported natively by AWS (Node.js, Java, C#, Go, Python – NO SHIMS)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Must log execution output to CloudWatch Logs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API Gateway with two stages (dev and prod) exposing endpoints for the Lambda function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 Must have a path to expose all DynamoDB records as well as a single record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▪ Example: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/idshould returnalist ofall records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/id/5shouldreturnthedetails of record #5inDynamoDB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“id”: “5”,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“details”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“firstName”: “Onica”,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“lastName”: “Test”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CloudWatch Logs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Must have a retention policy of 30 days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IAM roles and policies must be created in the least permissive model (AVOID USING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AWS MANAGED POLICIES)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AllAWSresourcesmustbecreatedusingServerlessFramework,Terraform,orCloudFormation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No resources may be created or managed by hand other than EC2 SSH keys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