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34"/>
        </w:rPr>
        <w:t>TOP: A Reliability-Weighted, Multi-Model Machine Learning Framework for Real-Time Tactical Decision Support During Strategic Time-Outs in T20 Cricket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Abstract</w:t>
      </w:r>
    </w:p>
    <w:p>
      <w:r>
        <w:rPr>
          <w:b w:val="0"/>
          <w:i w:val="0"/>
        </w:rPr>
        <w:t>Twenty20 (T20) cricket compresses tactical decision-making into brief, high-stakes</w:t>
        <w:br/>
        <w:t>windows — the strategic time-outs during which a coach must translate an evolving</w:t>
        <w:br/>
        <w:t>match state into a concrete instruction with almost no time for deliberation. This</w:t>
        <w:br/>
        <w:t>paper presents TOP (Tactical Optimization during time-out Period), a real-time</w:t>
        <w:br/>
        <w:t>decision-support system that converts a live ball-by-ball scorecard into a single,</w:t>
        <w:br/>
        <w:t>ranked, auditable tactical recommendation. Rather than one monolithic predictive</w:t>
        <w:br/>
        <w:t>model, TOP trains 28 narrowly scoped machine learning components — 15 for the</w:t>
        <w:br/>
        <w:t>bowling side and 13 for the batting side — each targeting one tactical facet of the</w:t>
        <w:br/>
        <w:t>game (economy control, wicket probability, strike rotation, death-over acceleration,</w:t>
        <w:br/>
        <w:t>dismissal risk, and others), using gradient-boosted trees (LightGBM, XGBoost,</w:t>
        <w:br/>
        <w:t>CatBoost), classical classifiers (logistic regression, random forest, k-nearest</w:t>
        <w:br/>
        <w:t>neighbours, Gaussian naive Bayes), and a survival-analysis (Cox proportional-hazards)</w:t>
        <w:br/>
        <w:t>model. Model outputs are normalized onto a common signal scale, weighted by match</w:t>
        <w:br/>
        <w:t>phase and by a data-driven reliability score derived from each model's own held-out</w:t>
        <w:br/>
        <w:t>validation performance, aggregated into per-action scores, and filtered through a</w:t>
        <w:br/>
        <w:t>rule-validation layer before a natural-language recommendation is generated. All 28</w:t>
        <w:br/>
        <w:t>models are trained and evaluated with a match-level (never row-level) train/test</w:t>
        <w:br/>
        <w:t>split on 1,212 professional T20 franchise-league matches (approximately 288,000</w:t>
        <w:br/>
        <w:t>deliveries), specifically to prevent information leakage across deliveries of the</w:t>
        <w:br/>
        <w:t>same match. The paper documents a systematic audit that identified and corrected</w:t>
        <w:br/>
        <w:t>target leakage in four models, an inconsistent or absent train/test split in six</w:t>
        <w:br/>
        <w:t>others, a structurally degenerate time-series model, and two unintentionally</w:t>
        <w:br/>
        <w:t>identical models, with before/after metrics reported for each fix. The resulting</w:t>
        <w:br/>
        <w:t>suite is evaluated with standard regression (R², MAE, RMSE) and classification</w:t>
        <w:br/>
        <w:t>(accuracy, precision, recall, F1, ROC-AUC) metrics, several of which are honestly</w:t>
        <w:br/>
        <w:t>weak — a weakness the reliability-weighting mechanism propagates into the decision</w:t>
        <w:br/>
        <w:t>engine itself rather than concealing. A working system — a FastAPI backend serving a</w:t>
        <w:br/>
        <w:t>React-based live console — demonstrates the framework end to end against realistic</w:t>
        <w:br/>
        <w:t>batting- and bowling-timeout scenarios. This work contributes (i) a leakage-audited,</w:t>
        <w:br/>
        <w:t>reproducible training methodology for multi-model T20 cricket analytics pipelines,</w:t>
        <w:br/>
        <w:t>(ii) a data-driven, rather than hand-tuned, mechanism for combining heterogeneous</w:t>
        <w:br/>
        <w:t>model reliabilities into one decision, and (iii) a fully transparent decision trail</w:t>
        <w:br/>
        <w:t>intended to support, rather than replace, human tactical judgement.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cricket analytics, sports decision-support systems, machine learning,</w:t>
        <w:br/>
        <w:t>ensemble aggregation, data leakage, reliability weighting, explainable AI, T20</w:t>
        <w:br/>
        <w:t>cricket, real-time systems, tactical optimization.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I. Introduction</w:t>
      </w:r>
    </w:p>
    <w:p>
      <w:r>
        <w:rPr>
          <w:b w:val="0"/>
          <w:i w:val="0"/>
        </w:rPr>
        <w:t>Twenty20 cricket condenses a full contest into roughly three hours and 240</w:t>
        <w:br/>
        <w:t>deliveries per side, leaving little room for the extended between-innings analysis</w:t>
        <w:br/>
        <w:t>available in longer formats. Professional T20 franchise leagues — the broad category</w:t>
        <w:br/>
        <w:t>of competition the dataset used here is drawn from — schedule brief strategic</w:t>
        <w:br/>
        <w:t>time-outs during each innings: short breaks in which a team's support staff can</w:t>
        <w:br/>
        <w:t>review the match state and issue tactical instructions before play resumes. These</w:t>
        <w:br/>
        <w:t>windows are valuable precisely because they are scarce: a coach has perhaps two</w:t>
        <w:br/>
        <w:t>minutes to synthesize bowler form, matchup history, required run rate, wickets in</w:t>
        <w:br/>
        <w:t>hand, and momentum into one decision, typically relying on experience and intuition</w:t>
        <w:br/>
        <w:t>rather than a systematic aggregation of the available signal.</w:t>
      </w:r>
    </w:p>
    <w:p>
      <w:r>
        <w:rPr>
          <w:b w:val="0"/>
          <w:i w:val="0"/>
        </w:rPr>
        <w:t>This paper asks whether a real-time system can aggregate many independently trained,</w:t>
        <w:br/>
        <w:t>narrowly scoped predictive models into a single tactical recommendation that is both</w:t>
        <w:br/>
        <w:t>statistically grounded and transparent enough for a coach to trust or override. We</w:t>
        <w:br/>
        <w:t>answer this with TOP (Tactical Optimization during time-out Period), comprising:</w:t>
      </w:r>
    </w:p>
    <w:p>
      <w:pPr>
        <w:pStyle w:val="ListNumber"/>
      </w:pPr>
      <w:r>
        <w:rPr>
          <w:b w:val="0"/>
          <w:i w:val="0"/>
        </w:rPr>
        <w:t>A training pipeline that produces 28 tactical models — 15 covering bowling-side</w:t>
        <w:br/>
        <w:t xml:space="preserve">   decisions (labelled W1–W15) and 13 covering batting-side decisions (labelled</w:t>
        <w:br/>
        <w:t xml:space="preserve">   B1–B15, with B4 unused and B7 retained only as a non-predictive lookup table</w:t>
        <w:br/>
        <w:t xml:space="preserve">   outside the live pipeline) — from a single ball-by-ball T20 dataset, using a</w:t>
        <w:br/>
        <w:t xml:space="preserve">   consistent, leakage-audited methodology.</w:t>
      </w:r>
    </w:p>
    <w:p>
      <w:pPr>
        <w:pStyle w:val="ListNumber"/>
      </w:pPr>
      <w:r>
        <w:rPr>
          <w:b w:val="0"/>
          <w:i w:val="0"/>
        </w:rPr>
        <w:t>A decision engine that normalizes each model's raw output onto a common [-1, +1]</w:t>
        <w:br/>
        <w:t xml:space="preserve">   signal, weights it by match phase and by a reliability score computed from that</w:t>
        <w:br/>
        <w:t xml:space="preserve">   model's own validation performance, aggregates the weighted signals into</w:t>
        <w:br/>
        <w:t xml:space="preserve">   per-action scores, filters the ranked list through a small set of explainable hard</w:t>
        <w:br/>
        <w:t xml:space="preserve">   rules, and renders the result as natural-language tactical guidance with a full</w:t>
        <w:br/>
        <w:t xml:space="preserve">   audit trail.</w:t>
      </w:r>
    </w:p>
    <w:p>
      <w:pPr>
        <w:pStyle w:val="ListNumber"/>
      </w:pPr>
      <w:r>
        <w:rPr>
          <w:b w:val="0"/>
          <w:i w:val="0"/>
        </w:rPr>
        <w:t>A live web console — a ball-by-ball scorecard editor feeding a FastAPI backend —</w:t>
        <w:br/>
        <w:t xml:space="preserve">   that lets a user reproduce the exact conditions of a strategic time-out and see the</w:t>
        <w:br/>
        <w:t xml:space="preserve">   system's recommendation, its confidence, its alternatives, and the per-model</w:t>
        <w:br/>
        <w:t xml:space="preserve">   contributions behind it. Section VII-F presents screenshots of this console driven</w:t>
        <w:br/>
        <w:t xml:space="preserve">   through realistic batting- and bowling-timeout scenarios.</w:t>
      </w:r>
    </w:p>
    <w:p>
      <w:r>
        <w:rPr>
          <w:b w:val="0"/>
          <w:i w:val="0"/>
        </w:rPr>
        <w:t>A central methodological contribution of this work is not a new algorithm but a</w:t>
        <w:br/>
        <w:t>demonstrated discipline: every one of the 28 models is trained and evaluated with a</w:t>
        <w:br/>
        <w:t>match-level train/test split, so that no delivery from a held-out match can appear,</w:t>
        <w:br/>
        <w:t>directly or indirectly, in training. Early iterations of the model suite did not</w:t>
        <w:br/>
        <w:t>consistently follow this discipline, and Section IX documents, with concrete</w:t>
        <w:br/>
        <w:t>before/after metrics, what was found and corrected — outright target leakage in four</w:t>
        <w:br/>
        <w:t>models, an absent or row-level split in six others, a structurally degenerate</w:t>
        <w:br/>
        <w:t>forecasting model, and two models whose targets and features were, originally,</w:t>
        <w:br/>
        <w:t>identical. Reporting this audit openly, rather than presenting only the corrected</w:t>
        <w:br/>
        <w:t>numbers, is intended to make the resulting metrics credible: several of the 28</w:t>
        <w:br/>
        <w:t>models are honestly weak (Sections XI, XII), and the reliability-weighting mechanism</w:t>
        <w:br/>
        <w:t>(Sections VI-F, VII-C) is designed specifically so that this weakness is reflected in</w:t>
        <w:br/>
        <w:t>the aggregated decision rather than hidden behind it.</w:t>
      </w:r>
    </w:p>
    <w:p>
      <w:r>
        <w:rPr>
          <w:b w:val="0"/>
          <w:i w:val="0"/>
        </w:rPr>
        <w:t>Cricket analytics has grown into an active applied machine learning discipline over</w:t>
        <w:br/>
        <w:t>the past decade [1], and T20-format prediction specifically has attracted a</w:t>
        <w:br/>
        <w:t>succession of supervised learning studies [2]–[3]; TOP is positioned within this</w:t>
        <w:br/>
        <w:t>broader trend but narrows its scope from outcome prediction to in-match tactical</w:t>
        <w:br/>
        <w:t>recommendation, as Section III develops in detail.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II. Literature Review (Related Work)</w:t>
      </w:r>
    </w:p>
    <w:p>
      <w:pPr>
        <w:spacing w:before="200" w:after="60"/>
      </w:pPr>
      <w:r>
        <w:rPr>
          <w:b/>
          <w:i/>
          <w:sz w:val="23"/>
        </w:rPr>
        <w:t>A. Machine Learning in Cricket and T20 Analytics</w:t>
      </w:r>
    </w:p>
    <w:p>
      <w:r>
        <w:rPr>
          <w:b w:val="0"/>
          <w:i w:val="0"/>
        </w:rPr>
        <w:t>Wickramasinghe's systematic review of two decades of cricket machine learning</w:t>
        <w:br/>
        <w:t>research (2001–2021) documents a field that has moved well beyond summary statistics</w:t>
        <w:br/>
        <w:t>into supervised prediction of match outcomes, player performance, and team selection</w:t>
        <w:br/>
        <w:t>[1]. Within T20 specifically, Priya et al. applied logistic regression and random</w:t>
        <w:br/>
        <w:t>forest classifiers to in-match win prediction [2]. Chakraborty et al.'s more recent</w:t>
        <w:br/>
        <w:t>T20 forecasting benchmark reinforces a pattern visible across this literature:</w:t>
        <w:br/>
        <w:t>gradient-boosted and ensemble methods tend to outperform single linear or</w:t>
        <w:br/>
        <w:t>single-tree baselines on this class of problem [3], a pattern consistent with this</w:t>
        <w:br/>
        <w:t>paper's own choice to build the majority of its 28 models on gradient-boosted trees</w:t>
        <w:br/>
        <w:t>(Section VI-E). Asif and McHale's dynamic logistic regression model for in-play</w:t>
        <w:br/>
        <w:t>One-Day International win probability is a particularly close methodological</w:t>
        <w:br/>
        <w:t>ancestor to the present work in spirit, if not in format: it explicitly models a</w:t>
        <w:br/>
      </w:r>
      <w:r>
        <w:rPr>
          <w:b w:val="0"/>
          <w:i/>
        </w:rPr>
        <w:t>live, evolving</w:t>
      </w:r>
      <w:r>
        <w:rPr>
          <w:b w:val="0"/>
          <w:i w:val="0"/>
        </w:rPr>
        <w:t xml:space="preserve"> match state rather than a static pre-match feature vector, the same</w:t>
        <w:br/>
        <w:t>design commitment underlying every feature in Section VI-B [4]. At the level of</w:t>
        <w:br/>
        <w:t>individual player performance rather than match outcome, Lokhande et al. forecast</w:t>
        <w:br/>
        <w:t>bowler economy using XGBoost, random forest, and support vector regression on</w:t>
        <w:br/>
        <w:t>One-Day International data [5], the same algorithm family and a closely related</w:t>
        <w:br/>
        <w:t>target to this paper's Economy Predictor (W1).</w:t>
      </w:r>
    </w:p>
    <w:p>
      <w:pPr>
        <w:spacing w:before="200" w:after="60"/>
      </w:pPr>
      <w:r>
        <w:rPr>
          <w:b/>
          <w:i/>
          <w:sz w:val="23"/>
        </w:rPr>
        <w:t>B. Sports Decision-Support and Tactical AI Systems</w:t>
      </w:r>
    </w:p>
    <w:p>
      <w:r>
        <w:rPr>
          <w:b w:val="0"/>
          <w:i w:val="0"/>
        </w:rPr>
        <w:t>Beyond outcome prediction, a smaller but growing literature addresses AI systems</w:t>
        <w:br/>
        <w:t>intended to support, rather than merely forecast, tactical decisions. Bonidia et</w:t>
        <w:br/>
        <w:t>al.'s systematic review of computational intelligence in sports finds</w:t>
        <w:br/>
        <w:t>decision-support applications distributed across many sports and stages of play,</w:t>
        <w:br/>
        <w:t>from pre-match planning to live in-game adjustment [6]. The clearest and most</w:t>
        <w:br/>
        <w:t>prominent example of an AI system that produces ranked, explainable tactical</w:t>
        <w:br/>
        <w:t>recommendations for human coaches is Wang et al.'s TacticAI, a system developed with</w:t>
        <w:br/>
        <w:t>a professional football club that recommends corner-kick strategies and was found,</w:t>
        <w:br/>
        <w:t>in a controlled evaluation with club coaches, to produce suggestions</w:t>
        <w:br/>
        <w:t>indistinguishable from or preferred over those of human experts in the majority of</w:t>
        <w:br/>
        <w:t>cases [7]. TacticAI differs from TOP in sport, in the specific tactical scope it</w:t>
        <w:br/>
        <w:t>addresses (a single set-piece situation rather than a recurring, innings-wide</w:t>
        <w:br/>
        <w:t>decision window), and in its underlying architecture (a graph neural network</w:t>
        <w:br/>
        <w:t>operating on player-position data rather than an aggregation of many independently</w:t>
        <w:br/>
        <w:t>trained tabular models); it is, nonetheless, the closest published precedent for the</w:t>
        <w:br/>
        <w:t>general problem this paper addresses — a system that turns a live sporting situation</w:t>
        <w:br/>
        <w:t>directly into a ranked, human-reviewable tactical recommendation — and Section XIII</w:t>
        <w:br/>
        <w:t>returns to this comparison. Kranzinger et al.'s scoping review of explainable AI</w:t>
        <w:br/>
        <w:t>within sports science identifies interpretability as a largely unmet need in fielded</w:t>
        <w:br/>
        <w:t>sports-AI systems — most published systems report predictive accuracy without a</w:t>
        <w:br/>
        <w:t>corresponding account of how a coach is meant to interpret or act on a given output</w:t>
        <w:br/>
        <w:t>[8], a gap this paper's audit-trail and coverage-caveat mechanisms (Sections VII-D,</w:t>
        <w:br/>
        <w:t>XII-E) are designed to close for TOP specifically.</w:t>
      </w:r>
    </w:p>
    <w:p>
      <w:pPr>
        <w:spacing w:before="200" w:after="60"/>
      </w:pPr>
      <w:r>
        <w:rPr>
          <w:b/>
          <w:i/>
          <w:sz w:val="23"/>
        </w:rPr>
        <w:t>C. In-Game Strategic Decision Points and Coaching Analytics</w:t>
      </w:r>
    </w:p>
    <w:p>
      <w:r>
        <w:rPr>
          <w:b w:val="0"/>
          <w:i w:val="0"/>
        </w:rPr>
        <w:t>A separate strand of sports-science literature studies the strategic timeout itself</w:t>
        <w:br/>
        <w:t>as a decision point, almost entirely outside cricket. Qiu et al. find a measurable,</w:t>
        <w:br/>
        <w:t>situation-dependent shift in scoring momentum immediately following basketball</w:t>
        <w:br/>
        <w:t>timeouts [9]; Prieto et al. report a comparable, quantified effect of team timeouts</w:t>
        <w:br/>
        <w:t>on scoring performance in elite handball [10]; and Fernández-Echeverría et al. find</w:t>
        <w:br/>
        <w:t>that a timeout's effectiveness in volleyball is highly context-dependent rather than</w:t>
        <w:br/>
        <w:t>uniformly positive [11]. Read together, this literature establishes two premises</w:t>
        <w:br/>
        <w:t>this paper relies on: that a called timeout is a genuine, measurable point of</w:t>
        <w:br/>
        <w:t>tactical leverage in fast, high-possession sports, and that its effectiveness</w:t>
        <w:br/>
        <w:t>depends on the specific match context in which it is called rather than being a</w:t>
        <w:br/>
        <w:t>fixed, one-size-fits-all intervention — which is precisely the premise motivating a</w:t>
        <w:br/>
        <w:t>context-sensitive, data-driven recommendation rather than a fixed playbook. A</w:t>
        <w:br/>
        <w:t>closely related body of work addresses another discrete, recurring in-match tactical</w:t>
        <w:br/>
        <w:t>decision — the substitution — using machine learning: Mohandas et al. predict</w:t>
        <w:br/>
        <w:t>optimal football substitution timing using random forest, XGBoost, and support</w:t>
        <w:br/>
        <w:t>vector machines on match-event data [12]. Notably, and consistent with an explicit</w:t>
        <w:br/>
        <w:t>gap identified by the literature search conducted for this paper, no peer-reviewed</w:t>
        <w:br/>
        <w:t>study was found that analyzes cricket's strategic timeout specifically — the closest</w:t>
        <w:br/>
        <w:t>available material consists of unrefereed industry and fan-analytics sources</w:t>
        <w:br/>
        <w:t>reporting isolated statistics without disclosed methodology, which are not treated</w:t>
        <w:br/>
        <w:t>as citable evidence in this paper. The strategic-timeout-specific framing developed</w:t>
        <w:br/>
        <w:t>in Sections IV and VI of this paper should therefore be read as an original</w:t>
        <w:br/>
        <w:t>contribution to this literature, extending the general timeout-as-decision-point</w:t>
        <w:br/>
        <w:t>premise established in basketball, handball, and volleyball [9]–[11] into T20</w:t>
        <w:br/>
        <w:t>cricket for the first time.</w:t>
      </w:r>
    </w:p>
    <w:p>
      <w:pPr>
        <w:spacing w:before="200" w:after="60"/>
      </w:pPr>
      <w:r>
        <w:rPr>
          <w:b/>
          <w:i/>
          <w:sz w:val="23"/>
        </w:rPr>
        <w:t>D. Ensemble Learning and Multi-Model Aggregation</w:t>
      </w:r>
    </w:p>
    <w:p>
      <w:r>
        <w:rPr>
          <w:b w:val="0"/>
          <w:i w:val="0"/>
        </w:rPr>
        <w:t>The principle that combining multiple predictive models can outperform any single</w:t>
        <w:br/>
        <w:t>constituent model is well established in the general machine learning literature,</w:t>
        <w:br/>
        <w:t>from Dietterich's foundational treatment of ensemble methods [13] to Wolpert's</w:t>
        <w:br/>
        <w:t>stacked generalization, which frames model combination itself as a learnable problem</w:t>
        <w:br/>
        <w:t>[14]. More directly relevant to this paper's specific weighting mechanism (Section</w:t>
        <w:br/>
        <w:t>VI-F, VII-C) is the literature on dynamic and competence-based classifier selection,</w:t>
        <w:br/>
        <w:t>which argues that a fixed, uniform combination weight across ensemble members is</w:t>
        <w:br/>
        <w:t>generally suboptimal when member models differ meaningfully in reliability across</w:t>
        <w:br/>
        <w:t>different regions of the input space [15]. TOP's reliability-weighting mechanism is</w:t>
        <w:br/>
        <w:t>built in this spirit — scaling each model's influence by a measure of its own</w:t>
        <w:br/>
        <w:t>demonstrated competence rather than trusting every model equally — but it should be</w:t>
        <w:br/>
        <w:t>understood as original engineering informed by this theoretical tradition rather</w:t>
        <w:br/>
        <w:t>than a direct reproduction of a specific named method from it: TOP's reliability</w:t>
        <w:br/>
        <w:t>score is derived from each model's own disclosed, held-out validation metric</w:t>
        <w:br/>
        <w:t>(ROC-AUC or R²) rather than a learned competence function fitted over the input</w:t>
        <w:br/>
        <w:t>space, and is combined with the phase-relevance mechanism of Section VII-C in a way</w:t>
        <w:br/>
        <w:t>specific to the structure of a cricket innings.</w:t>
      </w:r>
    </w:p>
    <w:p>
      <w:pPr>
        <w:spacing w:before="200" w:after="60"/>
      </w:pPr>
      <w:r>
        <w:rPr>
          <w:b/>
          <w:i/>
          <w:sz w:val="23"/>
        </w:rPr>
        <w:t>E. Data Leakage in Machine Learning Pipelines</w:t>
      </w:r>
    </w:p>
    <w:p>
      <w:r>
        <w:rPr>
          <w:b w:val="0"/>
          <w:i w:val="0"/>
        </w:rPr>
        <w:t>The methodological audit reported in Section IX-A of this paper is grounded in an</w:t>
        <w:br/>
        <w:t>established literature on data leakage as a distinct and pervasive failure mode in</w:t>
        <w:br/>
        <w:t>applied machine learning. Kaufman et al. provide the field's canonical formulation</w:t>
        <w:br/>
        <w:t>of leakage — broadly, the introduction into a model of information that would not</w:t>
        <w:br/>
        <w:t>be legitimately available at prediction time — together with a taxonomy of how it</w:t>
        <w:br/>
        <w:t>typically arises and a set of detection strategies, several of which (in particular,</w:t>
        <w:br/>
        <w:t>scrutinizing implausibly strong validation metrics) directly informed the audit</w:t>
        <w:br/>
        <w:t>process described in Section IX-A [16]. Kapoor and Narayanan's large-scale</w:t>
        <w:br/>
        <w:t>systematic review of leakage across 294 published papers spanning seventeen</w:t>
        <w:br/>
        <w:t>scientific fields finds leakage-driven overoptimism to be widespread rather than</w:t>
        <w:br/>
        <w:t>exceptional, and explicitly implicates the kind of row-level, non-independent data</w:t>
        <w:br/>
        <w:t>splitting this paper's audit identified and corrected in six of the 28 models [17].</w:t>
      </w:r>
    </w:p>
    <w:p>
      <w:pPr>
        <w:spacing w:before="200" w:after="60"/>
      </w:pPr>
      <w:r>
        <w:rPr>
          <w:b/>
          <w:i/>
          <w:sz w:val="23"/>
        </w:rPr>
        <w:t>F. Explainable and Interpretable Machine Learning</w:t>
      </w:r>
    </w:p>
    <w:p>
      <w:r>
        <w:rPr>
          <w:b w:val="0"/>
          <w:i w:val="0"/>
        </w:rPr>
        <w:t>TOP's emphasis on a fully traceable decision path — normalized signal, phase and</w:t>
        <w:br/>
        <w:t>reliability weight, rule-validation outcome, and natural-language justification, all</w:t>
        <w:br/>
        <w:t>retained per model per action (Sections VII-B–VII-E) — sits within the broader</w:t>
        <w:br/>
        <w:t>explainable AI (XAI) literature. Two feature-attribution methods dominate this</w:t>
        <w:br/>
        <w:t>literature for tree-based and black-box models specifically: Lundberg and Lee's</w:t>
        <w:br/>
        <w:t>SHAP framework, which attributes a prediction to its input features using a</w:t>
        <w:br/>
        <w:t>game-theoretic (Shapley-value) allocation [18], and Ribeiro et al.'s LIME, which</w:t>
        <w:br/>
        <w:t>explains an individual prediction by fitting a locally faithful, interpretable</w:t>
        <w:br/>
        <w:t>surrogate model around it [19]. TOP does not currently apply either SHAP or LIME to</w:t>
        <w:br/>
        <w:t>its component models directly, and this is noted explicitly as a direction for</w:t>
        <w:br/>
        <w:t>future work in Section XV; the interpretability mechanisms actually implemented in</w:t>
        <w:br/>
        <w:t>the present system — reliability disclosure, per-action contribution accounting, and</w:t>
        <w:br/>
        <w:t xml:space="preserve">the model-coverage caveat (Section XII-E) — operate at the level of the </w:t>
      </w:r>
      <w:r>
        <w:rPr>
          <w:b w:val="0"/>
          <w:i/>
        </w:rPr>
        <w:t>decision</w:t>
        <w:br/>
        <w:t>engine's aggregation logic</w:t>
      </w:r>
      <w:r>
        <w:rPr>
          <w:b w:val="0"/>
          <w:i w:val="0"/>
        </w:rPr>
        <w:t xml:space="preserve"> rather than at the level of any individual model's</w:t>
        <w:br/>
        <w:t>internal feature attributions, and are complementary to, rather than a substitute</w:t>
        <w:br/>
        <w:t>for, feature-level XAI techniques such as SHAP or LIME applied to the individual W-</w:t>
        <w:br/>
        <w:t>and B-models in a future iteration. Kranzinger et al.'s scoping review, already</w:t>
        <w:br/>
        <w:t>introduced in Section II-B, is the most directly relevant prior work situating XAI</w:t>
        <w:br/>
        <w:t>specifically within sports science and coaching contexts [8].</w:t>
      </w:r>
    </w:p>
    <w:p>
      <w:pPr>
        <w:spacing w:before="200" w:after="60"/>
      </w:pPr>
      <w:r>
        <w:rPr>
          <w:b/>
          <w:i/>
          <w:sz w:val="23"/>
        </w:rPr>
        <w:t>G. Algorithmic Foundations: Gradient Boosting and Survival Analysis</w:t>
      </w:r>
    </w:p>
    <w:p>
      <w:r>
        <w:rPr>
          <w:b w:val="0"/>
          <w:i w:val="0"/>
        </w:rPr>
        <w:t>The gradient-boosted tree algorithms used across the majority of TOP's 28 models</w:t>
        <w:br/>
        <w:t>trace back to Friedman's original formulation of gradient boosting as stagewise</w:t>
        <w:br/>
        <w:t>functional gradient descent over an ensemble of weak learners [20]. Three modern,</w:t>
        <w:br/>
        <w:t>widely adopted implementations of this idea are used directly in this paper's model</w:t>
        <w:br/>
        <w:t>suite: Chen and Guestrin's XGBoost, which introduced a regularized, systems-level</w:t>
        <w:br/>
        <w:t>implementation of gradient boosting that became a de facto standard for</w:t>
        <w:br/>
        <w:t>structured-data competitions and applications [21]; Ke et al.'s LightGBM, which</w:t>
        <w:br/>
        <w:t>introduced a histogram-based, leaf-wise growth strategy substantially faster than</w:t>
        <w:br/>
        <w:t>earlier implementations at comparable accuracy [22]; and Prokhorenkova et al.'s</w:t>
        <w:br/>
        <w:t>CatBoost, which introduced ordered boosting and native categorical-feature handling</w:t>
        <w:br/>
        <w:t>— the latter used directly by several of TOP's models (Section VI-C) — specifically</w:t>
        <w:br/>
        <w:t>to counter a subtle target-leakage effect that ordinary gradient boosting can</w:t>
        <w:br/>
        <w:t>introduce when a categorical feature is encoded using statistics computed from the</w:t>
        <w:br/>
        <w:t>same data used to fit the model, a concern directly related to, though distinct</w:t>
        <w:br/>
        <w:t>from, the row-level leakage documented in Section IX-A of this paper [23]. Finally,</w:t>
        <w:br/>
        <w:t>the one survival-analysis component in TOP's suite (B2, Dismissal Risk) applies</w:t>
        <w:br/>
        <w:t>Cox's proportional-hazards model [24] — originally developed for time-to-event</w:t>
        <w:br/>
        <w:t>problems in biomedical and reliability contexts — to the problem of estimating a</w:t>
        <w:br/>
        <w:t>batter's in-innings dismissal risk as a function of balls remaining until the next</w:t>
        <w:br/>
        <w:t>wicket falls. Recent benchmarking work confirms that classical Cox-based approaches</w:t>
        <w:br/>
        <w:t>remain competitive with more elaborate machine-learning survival models on</w:t>
        <w:br/>
        <w:t>comparably structured tabular time-to-event data [25]. No prior study applying</w:t>
        <w:br/>
        <w:t>survival analysis to ball-by-ball batting dismissal risk in cricket was found during</w:t>
        <w:br/>
        <w:t>the literature search for this paper; B2 should accordingly be read as a novel</w:t>
        <w:br/>
        <w:t>application of an established statistical technique to a new problem domain, rather</w:t>
        <w:br/>
        <w:t>than a reproduction of an existing cricket-specific method.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III. Research Gap</w:t>
      </w:r>
    </w:p>
    <w:p>
      <w:r>
        <w:rPr>
          <w:b w:val="0"/>
          <w:i w:val="0"/>
        </w:rPr>
        <w:t>The literature reviewed in Section II establishes three points of departure for the</w:t>
        <w:br/>
        <w:t>present work. First, the substantial majority of published cricket and sports</w:t>
        <w:br/>
        <w:t>analytics research targets retrospective or pre-match prediction — win probability</w:t>
        <w:br/>
        <w:t>at a given score, a player's season-long value, an optimal starting eleven — rather</w:t>
        <w:br/>
        <w:t>than a real-time, in-match recommendation scoped to a specific, recurring decision</w:t>
        <w:br/>
        <w:t>window such as a strategic time-out [1]–[5]. Systems that do address in-match</w:t>
        <w:br/>
        <w:t>decisions, such as TacticAI [7] or dynamic in-play win-probability models [4],</w:t>
        <w:br/>
        <w:t>typically produce either a single scalar estimate or a recommendation for a single,</w:t>
        <w:br/>
        <w:t>narrowly bounded situation (a corner kick, a substitution) rather than a ranked,</w:t>
        <w:br/>
        <w:t>multi-option recommendation, refreshed at every strategic decision point across an</w:t>
        <w:br/>
        <w:t>entire innings, accompanied by an explanation of which underlying signals drove it.</w:t>
        <w:br/>
        <w:t>Second, where ensemble or multi-model combination is used in the sports analytics</w:t>
        <w:br/>
        <w:t>literature, the combining weights are generally fixed at design time or learned as</w:t>
        <w:br/>
        <w:t>an additional opaque parameter set, rather than derived transparently and</w:t>
        <w:br/>
        <w:t>reproducibly from each component model's own disclosed, independently reported</w:t>
        <w:br/>
        <w:t>validation performance [14], [15]; a practitioner or reviewer inspecting such a</w:t>
        <w:br/>
        <w:t>system typically cannot trace a specific weight back to a specific, checkable number</w:t>
        <w:br/>
        <w:t>the way the reliability weights in Table I of this paper can be traced back to a</w:t>
        <w:br/>
        <w:t>specific ROC-AUC or R² value. Third, despite match-structured, temporally ordered</w:t>
        <w:br/>
        <w:t>event data of exactly the kind used in this work being particularly susceptible to</w:t>
        <w:br/>
        <w:t>the row-level train/test contamination errors described generally in the</w:t>
        <w:br/>
        <w:t>data-leakage literature [16], [17], published applied cricket-analytics pipelines</w:t>
        <w:br/>
        <w:t>rarely document an explicit, model-by-model leakage and split-methodology audit of</w:t>
        <w:br/>
        <w:t>the kind reported in Section IX of this paper — results are typically reported</w:t>
        <w:br/>
        <w:t>directly, without the accompanying before/after evidence that would let a reader</w:t>
        <w:br/>
        <w:t>judge whether an unusually strong metric reflects genuine predictive power or an</w:t>
        <w:br/>
        <w:t>artefact of the evaluation methodology. Finally, as Section II-C notes, no</w:t>
        <w:br/>
        <w:t>peer-reviewed prior work was found addressing cricket's strategic timeout as a</w:t>
        <w:br/>
        <w:t>modelling target at all, in contrast to the comparatively richer timeout literature</w:t>
        <w:br/>
        <w:t>available in basketball, handball, and volleyball [9]–[11].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IV. Problem Statement</w:t>
      </w:r>
    </w:p>
    <w:p>
      <w:r>
        <w:rPr>
          <w:b w:val="0"/>
          <w:i w:val="0"/>
        </w:rPr>
        <w:t>Existing cricket analytics tools largely operate outside the flow of a live match:</w:t>
        <w:br/>
        <w:t>they estimate win probability from the current score, project a player's season-long</w:t>
        <w:br/>
        <w:t>value, or analyze completed innings after the fact. None of this tooling is scoped to</w:t>
        <w:br/>
        <w:t>the specific, time-boxed decision a coaching staff must make during a strategic</w:t>
        <w:br/>
        <w:t>time-out — a decision that is inherently multi-factorial (bowler form, matchup</w:t>
        <w:br/>
        <w:t>history, phase of the innings, chase requirements, recent momentum), time-constrained</w:t>
        <w:br/>
        <w:t>(a small, fixed window of real time), and consequential (it shapes the next several</w:t>
        <w:br/>
        <w:t>overs of the match). A system intended to support this decision must therefore (a)</w:t>
        <w:br/>
        <w:t>consume the live ball-by-ball state directly, (b) produce a recommendation within the</w:t>
        <w:br/>
        <w:t>constraints of the time-out itself, (c) combine multiple, individually imperfect</w:t>
        <w:br/>
        <w:t>signals in a way that reflects how much each signal should actually be trusted, and</w:t>
        <w:br/>
        <w:t>(d) expose enough of its own reasoning that a human decision-maker can accept,</w:t>
        <w:br/>
        <w:t>adjust, or override it rather than treat it as an opaque oracle. The problem this</w:t>
        <w:br/>
        <w:t>paper addresses is the design, implementation, and honest empirical evaluation of</w:t>
        <w:br/>
        <w:t>such a system for the T20 format generally.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V. Research Objectives</w:t>
      </w:r>
    </w:p>
    <w:p>
      <w:r>
        <w:rPr>
          <w:b w:val="0"/>
          <w:i w:val="0"/>
        </w:rPr>
        <w:t>This work has the following specific objectives:</w:t>
      </w:r>
    </w:p>
    <w:p>
      <w:pPr>
        <w:pStyle w:val="ListNumber"/>
      </w:pPr>
      <w:r>
        <w:rPr>
          <w:b w:val="0"/>
          <w:i w:val="0"/>
        </w:rPr>
        <w:t>To design a real-time decision-support architecture capable of aggregating the</w:t>
        <w:br/>
        <w:t xml:space="preserve">   outputs of heterogeneous predictive components — regression, binary and</w:t>
        <w:br/>
        <w:t xml:space="preserve">   multi-class classification, survival analysis, and deterministic scoring formulae</w:t>
        <w:br/>
        <w:t xml:space="preserve">   — into a single, ranked tactical recommendation.</w:t>
      </w:r>
    </w:p>
    <w:p>
      <w:pPr>
        <w:pStyle w:val="ListNumber"/>
      </w:pPr>
      <w:r>
        <w:rPr>
          <w:b w:val="0"/>
          <w:i w:val="0"/>
        </w:rPr>
        <w:t>To develop and train 28 domain-specific predictive models spanning the bowling and</w:t>
        <w:br/>
        <w:t xml:space="preserve">   batting sides of a T20 innings, using a single, shared, leakage-safe feature and</w:t>
        <w:br/>
        <w:t xml:space="preserve">   splitting methodology.</w:t>
      </w:r>
    </w:p>
    <w:p>
      <w:pPr>
        <w:pStyle w:val="ListNumber"/>
      </w:pPr>
      <w:r>
        <w:rPr>
          <w:b w:val="0"/>
          <w:i w:val="0"/>
        </w:rPr>
        <w:t>To design and implement a reliability-weighting mechanism that scales each model's</w:t>
        <w:br/>
        <w:t xml:space="preserve">   influence on the aggregated decision according to its own measured validation</w:t>
        <w:br/>
        <w:t xml:space="preserve">   performance, rather than a fixed or hand-assigned trust level.</w:t>
      </w:r>
    </w:p>
    <w:p>
      <w:pPr>
        <w:pStyle w:val="ListNumber"/>
      </w:pPr>
      <w:r>
        <w:rPr>
          <w:b w:val="0"/>
          <w:i w:val="0"/>
        </w:rPr>
        <w:t>To conduct a systematic audit of the model suite for target leakage, train/test</w:t>
        <w:br/>
        <w:t xml:space="preserve">   contamination, and structural or duplication defects, and to quantify the effect</w:t>
        <w:br/>
        <w:t xml:space="preserve">   of each correction with before/after metrics.</w:t>
      </w:r>
    </w:p>
    <w:p>
      <w:pPr>
        <w:pStyle w:val="ListNumber"/>
      </w:pPr>
      <w:r>
        <w:rPr>
          <w:b w:val="0"/>
          <w:i w:val="0"/>
        </w:rPr>
        <w:t>To implement a rule-validation layer that enforces domain-appropriate constraints</w:t>
        <w:br/>
        <w:t xml:space="preserve">   (for example, a minimum number of overs bowled before recommending a bowling</w:t>
        <w:br/>
        <w:t xml:space="preserve">   change) on top of the learned ranking, so that statistically favoured actions that</w:t>
        <w:br/>
        <w:t xml:space="preserve">   are tactically or procedurally unreasonable are not surfaced as the top</w:t>
        <w:br/>
        <w:t xml:space="preserve">   recommendation.</w:t>
      </w:r>
    </w:p>
    <w:p>
      <w:pPr>
        <w:pStyle w:val="ListNumber"/>
      </w:pPr>
      <w:r>
        <w:rPr>
          <w:b w:val="0"/>
          <w:i w:val="0"/>
        </w:rPr>
        <w:t>To build a live, ball-by-ball web console that reproduces the conditions of a</w:t>
        <w:br/>
        <w:t xml:space="preserve">   strategic time-out and exposes the full decision trail — contributing models,</w:t>
        <w:br/>
        <w:t xml:space="preserve">   blocked alternatives, and an audit log — for both coaching and research use, and</w:t>
        <w:br/>
        <w:t xml:space="preserve">   to demonstrate it against realistic batting- and bowling-timeout scenarios.</w:t>
      </w:r>
    </w:p>
    <w:p>
      <w:pPr>
        <w:pStyle w:val="ListNumber"/>
      </w:pPr>
      <w:r>
        <w:rPr>
          <w:b w:val="0"/>
          <w:i w:val="0"/>
        </w:rPr>
        <w:t>To evaluate all 28 models with standard, appropriate metrics and to report results</w:t>
        <w:br/>
        <w:t xml:space="preserve">   — including weak-performing models — without selective omission.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VI. Proposed Methodology</w:t>
      </w:r>
    </w:p>
    <w:p>
      <w:pPr>
        <w:spacing w:before="200" w:after="60"/>
      </w:pPr>
      <w:r>
        <w:rPr>
          <w:b/>
          <w:i/>
          <w:sz w:val="23"/>
        </w:rPr>
        <w:t>A. Overview</w:t>
      </w:r>
    </w:p>
    <w:p>
      <w:r>
        <w:rPr>
          <w:b w:val="0"/>
          <w:i w:val="0"/>
        </w:rPr>
        <w:t>TOP is organized as a four-stage pipeline: (1) a shared feature-engineering layer</w:t>
        <w:br/>
        <w:t>that computes leakage-safe, point-in-time match-state features from raw ball-by-ball</w:t>
        <w:br/>
        <w:t>data; (2) a training layer that fits 28 independent models, each targeting one</w:t>
        <w:br/>
        <w:t>tactical facet of the game, using a single shared train/test splitting function; (3)</w:t>
        <w:br/>
        <w:t>a decision-engine layer that normalizes, weights, aggregates, and rule-checks the</w:t>
        <w:br/>
        <w:t>live outputs of the subset of models relevant to a given role (bowling or batting);</w:t>
        <w:br/>
        <w:t>and (4) a presentation layer that renders the resulting decision as natural-language</w:t>
        <w:br/>
        <w:t>guidance with a transparent contribution and audit trail. The pipeline diagram in</w:t>
        <w:br/>
        <w:t>Section VII-A summarizes this arrangement.</w:t>
      </w:r>
    </w:p>
    <w:p>
      <w:r>
        <w:rPr>
          <w:b w:val="0"/>
          <w:i w:val="0"/>
        </w:rPr>
        <w:t xml:space="preserve">This four-stage pipeline is the </w:t>
      </w:r>
      <w:r>
        <w:rPr>
          <w:b w:val="0"/>
          <w:i/>
        </w:rPr>
        <w:t>delivered</w:t>
      </w:r>
      <w:r>
        <w:rPr>
          <w:b w:val="0"/>
          <w:i w:val="0"/>
        </w:rPr>
        <w:t xml:space="preserve"> realization of a two-tier design the</w:t>
        <w:br/>
        <w:t xml:space="preserve">project's internal architecture documentation frames as </w:t>
      </w:r>
      <w:r>
        <w:rPr>
          <w:b/>
          <w:i w:val="0"/>
        </w:rPr>
        <w:t>Tier 1</w:t>
      </w:r>
      <w:r>
        <w:rPr>
          <w:b w:val="0"/>
          <w:i w:val="0"/>
        </w:rPr>
        <w:t xml:space="preserve"> ("Base Analytical</w:t>
        <w:br/>
        <w:t>Models" — the 28 individually trained specialists summarized in Section XI) feeding</w:t>
        <w:br/>
      </w:r>
      <w:r>
        <w:rPr>
          <w:b/>
          <w:i w:val="0"/>
        </w:rPr>
        <w:t>Tier 2</w:t>
      </w:r>
      <w:r>
        <w:rPr>
          <w:b w:val="0"/>
          <w:i w:val="0"/>
        </w:rPr>
        <w:t xml:space="preserve"> ("Master" synthesis models — one for the batting side, one for the</w:t>
        <w:br/>
        <w:t>bowling side — that consume Tier 1's predictions rather than raw match data</w:t>
        <w:br/>
        <w:t>directly). The training layer and model suite described in this section realize</w:t>
        <w:br/>
        <w:t>Tier 1 in full, and the decision-engine layer described in Section VII realizes</w:t>
        <w:br/>
        <w:t xml:space="preserve">Tier 2's </w:t>
      </w:r>
      <w:r>
        <w:rPr>
          <w:b w:val="0"/>
          <w:i/>
        </w:rPr>
        <w:t>role</w:t>
      </w:r>
      <w:r>
        <w:rPr>
          <w:b w:val="0"/>
          <w:i w:val="0"/>
        </w:rPr>
        <w:t xml:space="preserve"> in the architecture. Where the delivered system departs from the</w:t>
        <w:br/>
        <w:t xml:space="preserve">original design documentation is </w:t>
      </w:r>
      <w:r>
        <w:rPr>
          <w:b w:val="0"/>
          <w:i/>
        </w:rPr>
        <w:t>how</w:t>
      </w:r>
      <w:r>
        <w:rPr>
          <w:b w:val="0"/>
          <w:i w:val="0"/>
        </w:rPr>
        <w:t xml:space="preserve"> Tier 2 is realized: the internal blueprint</w:t>
        <w:br/>
        <w:t>specifies Tier 2 as a further pair of trained meta-learner models (an XGBoost</w:t>
        <w:br/>
        <w:t>ensemble for the batting side, a CatBoost ensemble for the bowling side) fit on</w:t>
        <w:br/>
        <w:t>Tier 1's output predictions against final match outcomes. No such meta-learner was</w:t>
        <w:br/>
        <w:t>trained for the system evaluated in this paper; Tier 2 is instead implemented as the</w:t>
        <w:br/>
        <w:t>deterministic normalize-weight-aggregate-validate pipeline of Section VII-B–VII-D.</w:t>
        <w:br/>
        <w:t>This is a disclosed, deliberate substitution rather than an oversight — Section</w:t>
        <w:br/>
        <w:t>XII-C discusses the interpretability rationale for it, and Section XV identifies</w:t>
        <w:br/>
        <w:t>training the originally specified Tier 2 meta-learners as a concrete direction for</w:t>
        <w:br/>
        <w:t>future work.</w:t>
      </w:r>
    </w:p>
    <w:p>
      <w:pPr>
        <w:spacing w:before="200" w:after="60"/>
      </w:pPr>
      <w:r>
        <w:rPr>
          <w:b/>
          <w:i/>
          <w:sz w:val="23"/>
        </w:rPr>
        <w:t>B. Leakage-Safe Feature Engineering</w:t>
      </w:r>
    </w:p>
    <w:p>
      <w:r>
        <w:rPr>
          <w:b w:val="0"/>
          <w:i w:val="0"/>
        </w:rPr>
        <w:t>All bowling-side models share one feature-construction routine that computes, for</w:t>
        <w:br/>
        <w:t xml:space="preserve">every delivery, the current bowler's </w:t>
      </w:r>
      <w:r>
        <w:rPr>
          <w:b w:val="0"/>
          <w:i/>
        </w:rPr>
        <w:t>running</w:t>
      </w:r>
      <w:r>
        <w:rPr>
          <w:b w:val="0"/>
          <w:i w:val="0"/>
        </w:rPr>
        <w:t xml:space="preserve"> figures within their ongoing spell:</w:t>
        <w:br/>
        <w:t>runs conceded so far, legal balls bowled so far, wickets taken so far, dot balls and</w:t>
        <w:br/>
        <w:t>boundaries conceded so far, and derived rates (current economy, dot-ball percentage,</w:t>
        <w:br/>
        <w:t>boundary percentage), together with the categorical match context (venue, batting</w:t>
        <w:br/>
        <w:t>team, bowling team, innings, and a three-way match phase — powerplay, middle overs,</w:t>
        <w:br/>
        <w:t>death overs). Because every one of these quantities is a cumulative function of balls</w:t>
        <w:br/>
        <w:t>already bowled at the moment of computation, none of them can leak information about</w:t>
        <w:br/>
        <w:t>a delivery that has not yet occurred, which makes them safe predictors for any</w:t>
        <w:br/>
        <w:t>"what happens next" target. An analogous routine computes the batting-side running</w:t>
        <w:br/>
        <w:t>state: current score, wickets lost, balls used and remaining, and the current run</w:t>
        <w:br/>
        <w:t>rate.</w:t>
      </w:r>
    </w:p>
    <w:p>
      <w:r>
        <w:rPr>
          <w:b w:val="0"/>
          <w:i w:val="0"/>
        </w:rPr>
        <w:t>Bowling-side models are trained specifically on the delivery that ends each of four</w:t>
        <w:br/>
        <w:t>snapshot overs — the point in the innings that corresponds to a strategic time-out —</w:t>
        <w:br/>
        <w:t>rather than on every delivery in the dataset, aligning training examples with the</w:t>
        <w:br/>
        <w:t>actual decision points the system is designed to support, and (optionally, for</w:t>
        <w:br/>
        <w:t>models whose target concerns the remainder of a bowler's spell) excluding snapshots</w:t>
        <w:br/>
        <w:t>where the bowler has no further deliveries left to bowl in that innings.</w:t>
      </w:r>
    </w:p>
    <w:p>
      <w:r>
        <w:rPr>
          <w:b w:val="0"/>
          <w:i w:val="0"/>
        </w:rPr>
        <w:t xml:space="preserve">For targets that describe a bowler's </w:t>
      </w:r>
      <w:r>
        <w:rPr>
          <w:b w:val="0"/>
          <w:i/>
        </w:rPr>
        <w:t>future</w:t>
      </w:r>
      <w:r>
        <w:rPr>
          <w:b w:val="0"/>
          <w:i w:val="0"/>
        </w:rPr>
        <w:t xml:space="preserve"> performance — for example, "how many</w:t>
        <w:br/>
        <w:t>runs will this bowler concede for the rest of their spell" — a separate routine</w:t>
        <w:br/>
        <w:t>computes each bowler's eventual spell totals and subtracts the already-elapsed</w:t>
        <w:br/>
        <w:t>portion, yielding future-only quantities (future runs, future balls, future</w:t>
        <w:br/>
        <w:t>boundaries, future wickets, future dot balls, and the derived future economy and</w:t>
        <w:br/>
        <w:t>future boundary/dot-ball percentages). By construction, these targets contain no</w:t>
        <w:br/>
        <w:t>information available at decision time, which is the leakage-safety property the</w:t>
        <w:br/>
        <w:t>subsequent audit (Section IX) specifically checked for and, in several models, found</w:t>
        <w:br/>
        <w:t>to be violated in the original implementation.</w:t>
      </w:r>
    </w:p>
    <w:p>
      <w:pPr>
        <w:spacing w:before="200" w:after="60"/>
      </w:pPr>
      <w:r>
        <w:rPr>
          <w:b/>
          <w:i/>
          <w:sz w:val="23"/>
        </w:rPr>
        <w:t>C. Categorical Encoding</w:t>
      </w:r>
    </w:p>
    <w:p>
      <w:r>
        <w:rPr>
          <w:b w:val="0"/>
          <w:i w:val="0"/>
        </w:rPr>
        <w:t>Three consistent encoding strategies are used across the 28 models, chosen to match</w:t>
        <w:br/>
        <w:t>each algorithm family's native capabilities: (1) for gradient-boosted tree models</w:t>
        <w:br/>
        <w:t>with native categorical support (LightGBM, XGBoost), a fixed category vocabulary is</w:t>
        <w:br/>
        <w:t>fitted from the training split only and saved as a JSON manifest; (2) for algorithms</w:t>
        <w:br/>
        <w:t>without native categorical support (logistic regression, random forest, Gaussian</w:t>
        <w:br/>
        <w:t>naive Bayes, k-nearest neighbours), a fixed one-hot column schema is fitted from the</w:t>
        <w:br/>
        <w:t>training split and every subsequent row — including at live inference time — is</w:t>
        <w:br/>
        <w:t>re-indexed onto that exact schema, with unseen categories mapped to all-zero columns;</w:t>
        <w:br/>
        <w:t>(3) every fitted vocabulary or schema is persisted alongside its model so that the</w:t>
        <w:br/>
        <w:t>live inference pipeline (Section VII-A) reconstructs the identical column order and</w:t>
        <w:br/>
        <w:t>width the model was trained on. This last point matters operationally: a live</w:t>
        <w:br/>
        <w:t>scorecard's features are computed independently of the training pipeline, and any</w:t>
        <w:br/>
        <w:t>mismatch in column order or one-hot width between training and inference would</w:t>
        <w:br/>
        <w:t>silently corrupt every downstream prediction.</w:t>
      </w:r>
    </w:p>
    <w:p>
      <w:pPr>
        <w:spacing w:before="200" w:after="60"/>
      </w:pPr>
      <w:r>
        <w:rPr>
          <w:b/>
          <w:i/>
          <w:sz w:val="23"/>
        </w:rPr>
        <w:t>D. Train/Test Splitting</w:t>
      </w:r>
    </w:p>
    <w:p>
      <w:r>
        <w:rPr>
          <w:b w:val="0"/>
          <w:i w:val="0"/>
        </w:rPr>
        <w:t>Every model that reports a held-out metric in this paper uses the same match-level</w:t>
        <w:br/>
        <w:t>splitting function: the set of unique match identifiers is shuffled with a fixed</w:t>
        <w:br/>
        <w:t>random seed and partitioned 80/20 into training and test matches, and every delivery</w:t>
        <w:br/>
        <w:t>belonging to a test match is withheld from training in its entirety. This is a</w:t>
        <w:br/>
        <w:t>deliberate departure from a naive row-level train/test split, which — because</w:t>
        <w:br/>
        <w:t>deliveries from the same match share a bowler's spell figures, a batting side's</w:t>
        <w:br/>
        <w:t>score trajectory, and other match-specific context — would allow information from a</w:t>
        <w:br/>
        <w:t>given match to appear in both the training and test partitions and produce an</w:t>
        <w:br/>
        <w:t>optimistic, unreliable estimate of generalization performance. Section IX quantifies</w:t>
        <w:br/>
        <w:t>the effect of this choice on several models that, in the system's original</w:t>
        <w:br/>
        <w:t>implementation, either used a row-level split or no split at all. Fig. 10 illustrates</w:t>
        <w:br/>
        <w:t>this splitting procedure end to end.</w:t>
      </w:r>
    </w:p>
    <w:p>
      <w:pPr>
        <w:spacing w:before="200" w:after="60"/>
      </w:pPr>
      <w:r>
        <w:rPr>
          <w:b/>
          <w:i/>
          <w:sz w:val="23"/>
        </w:rPr>
        <w:t>E. Model Selection per Task: What Was Chosen and Why</w:t>
      </w:r>
    </w:p>
    <w:p>
      <w:r>
        <w:rPr>
          <w:b w:val="0"/>
          <w:i w:val="0"/>
        </w:rPr>
        <w:t>Model families were chosen per task according to the target's structure and the</w:t>
        <w:br/>
        <w:t>practical constraints of live inference, not applied uniformly. Table 0 below makes</w:t>
        <w:br/>
        <w:t>this reasoning explicit for every one of the 28 models, so that each algorithm choice</w:t>
        <w:br/>
        <w:t>can be traced back to a stated justification rather than left implicit.</w:t>
      </w:r>
    </w:p>
    <w:p>
      <w:r>
        <w:rPr>
          <w:b/>
          <w:i w:val="0"/>
        </w:rPr>
        <w:t>Table 0. Algorithm choice rationale by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Model(s)</w:t>
            </w:r>
          </w:p>
        </w:tc>
        <w:tc>
          <w:tcPr>
            <w:tcW w:type="dxa" w:w="2438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Target structure</w:t>
            </w:r>
          </w:p>
        </w:tc>
        <w:tc>
          <w:tcPr>
            <w:tcW w:type="dxa" w:w="2438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Algorithm chosen</w:t>
            </w:r>
          </w:p>
        </w:tc>
        <w:tc>
          <w:tcPr>
            <w:tcW w:type="dxa" w:w="2438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Why this algorithm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W1, W3, W11, W14, B1, B10, B11, B14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Continuous numeric target (economy, dot-ball %, runs, score)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LightGBM regressor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Fast, histogram-based gradient boosting handles the non-linear interactions between phase, venue, and running-spell statistics well, and trains quickly enough to retrain the full 28-model suite repeatedly during development.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B15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Continuous, death-overs runs-remaining target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XGBoost regressor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Chosen for its regularization controls, which helped stabilize a target with a comparatively small, phase-restricted (death-overs-only) training sample.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W2, W8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Binary target, moderate categorical cardinality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CatBoost classifier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CatBoost's native ordered-boosting categorical handling (Section VI-C, II-G) suits venue/team categorical features directly without a separate one-hot step, and its built-in regularization reduces overfitting on the categorical splits.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W4, W13, B5, B13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Binary target, class imbalance manageable via class weighting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Logistic regression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transparent, low-variance baseline appropriate where the underlying relationship (e.g. strike-rotation propensity) is expected to be close to linear in the engineered features;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class_weight="balanced"</w:t>
            </w:r>
            <w:r>
              <w:rPr>
                <w:b w:val="0"/>
                <w:i w:val="0"/>
                <w:sz w:val="18"/>
              </w:rPr>
              <w:t xml:space="preserve"> compensates directly for target imbalance.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W6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Binary target, exploratory baseline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Gaussian naive Bayes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suite's simplest probabilistic classifier, giving an honest low-complexity baseline against which the gradient-boosted classifiers can be compared (Section XII-B).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W7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Binary target, higher-dimensional categorical context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Random forest classifier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Robustness to the venue/team categorical context without the ordered-boosting machinery CatBoost provides, at acceptable training cost for this model's data volume.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W9, W15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Binary target, phase-restricted training snapshot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LightGBM classifier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Consistency with the LightGBM regressors used elsewhere in the bowling suite, and fast retraining, needed once these two models were phase-filtered to resolve the duplication defect described in Section IX-A.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B3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Three-class target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CatBoost classifier (multi-class)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CatBoost's native multi-class loss avoided a manual one-vs-rest decomposition for the three-way shot-aggression target.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B8, B9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Binary target, pronounced class imbalance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CatBoost classifier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</w:rPr>
              <w:t>auto_class_weights="Balanced"</w:t>
            </w:r>
            <w:r>
              <w:rPr>
                <w:b w:val="0"/>
                <w:i w:val="0"/>
                <w:sz w:val="18"/>
              </w:rPr>
              <w:t xml:space="preserve"> directly addresses the imbalance visible in both models' low precision/high recall profile, which is disclosed rather than masked.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B12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Binary target, expected local/non-parametric structure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k-Nearest neighbours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Included to test whether a purely instance-based, non-parametric method could capture "gap" patterns a parametric model might miss; performs comparably to, not better than, the suite's simpler parametric classifiers.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B6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Continuous target, expected non-linear but low-dimensional structure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Random forest regressor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robust default for a comparatively small, non-linear regression target where gradient-boosting's extra tuning surface was judged unnecessary.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B2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Time-to-event target (balls until next wicket)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XGBoost, Cox proportional-hazards objective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only target in the suite naturally expressed as time-to-event rather than a bounded classification or regression problem (Section VI-E, II-G); Cox's hazard formulation is the standard tool for this target structure.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W5, W10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Tactical heuristic judged sound without a learned target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Hand-tuned scoring formula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Deliberately not fitted — see discussion below.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W12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Per-bowler historical baseline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Train-only lookup table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deliberately simple, non-learned baseline against which the suite's fitted bowling models can be read (Section IX-A explains its train-only reconstruction after a leakage fix).</w:t>
            </w:r>
          </w:p>
        </w:tc>
      </w:tr>
    </w:tbl>
    <w:p>
      <w:pPr>
        <w:spacing w:after="160"/>
      </w:pPr>
    </w:p>
    <w:p>
      <w:r>
        <w:rPr>
          <w:b w:val="0"/>
          <w:i w:val="0"/>
        </w:rPr>
        <w:t>Two components (bowling-change optimization, W5, and field-set optimization, W10)</w:t>
        <w:br/>
        <w:t>are deliberately implemented as fixed, hand-weighted scoring formulae rather than</w:t>
        <w:br/>
        <w:t>fitted models, on the basis that these represent tactical heuristics the design team</w:t>
        <w:br/>
        <w:t>judged sound without requiring a learned target; both are labelled as formulae, not</w:t>
        <w:br/>
        <w:t>models, throughout the configuration and are assigned a documented, neutral</w:t>
        <w:br/>
        <w:t>reliability weight rather than an invented accuracy figure. A heuristic that encodes</w:t>
        <w:br/>
        <w:t>an uncontroversial tactical rule (for example, "avoid bowling the same bowler</w:t>
        <w:br/>
        <w:t>consecutive overs without a clear tactical reason") does not obviously benefit from</w:t>
        <w:br/>
        <w:t>being replaced by a fitted model whose target would itself have to be defined by the</w:t>
        <w:br/>
        <w:t>same tactical judgement it is meant to formalize.</w:t>
      </w:r>
    </w:p>
    <w:p>
      <w:pPr>
        <w:spacing w:before="200" w:after="60"/>
      </w:pPr>
      <w:r>
        <w:rPr>
          <w:b/>
          <w:i/>
          <w:sz w:val="23"/>
        </w:rPr>
        <w:t>F. Reliability Estimation</w:t>
      </w:r>
    </w:p>
    <w:p>
      <w:r>
        <w:rPr>
          <w:b w:val="0"/>
          <w:i w:val="0"/>
        </w:rPr>
        <w:t>Rather than trusting every model's output equally, TOP derives a per-model</w:t>
        <w:br/>
      </w:r>
      <w:r>
        <w:rPr>
          <w:b w:val="0"/>
          <w:i/>
        </w:rPr>
        <w:t>reliability</w:t>
      </w:r>
      <w:r>
        <w:rPr>
          <w:b w:val="0"/>
          <w:i w:val="0"/>
        </w:rPr>
        <w:t xml:space="preserve"> multiplier directly from that model's own held-out validation metric:</w:t>
        <w:br/>
        <w:t>the ROC-AUC for classifiers, the R² for regressors, the correlation between predicted</w:t>
        <w:br/>
        <w:t>and actual future values for the one lookup-table component, and a documented,</w:t>
        <w:br/>
        <w:t>neutral default for the two hand-tuned formulae. This mapping is computed once by a</w:t>
        <w:br/>
        <w:t>dedicated script after training and is regenerated automatically whenever the models</w:t>
        <w:br/>
        <w:t>are retrained, so that a change in a model's measured performance is reflected in its</w:t>
        <w:br/>
        <w:t>influence on the live decision without a manual weight-tuning step. As discussed in</w:t>
        <w:br/>
        <w:t>Section II-D, this design is informed by, but not a direct reproduction of, the</w:t>
        <w:br/>
        <w:t>dynamic and competence-based classifier-weighting literature [15]: where that</w:t>
        <w:br/>
        <w:t>literature typically learns a competence function over the input space, TOP instead</w:t>
        <w:br/>
        <w:t>uses each model's own disclosed, held-out validation score directly as a static</w:t>
        <w:br/>
        <w:t>(until the next retraining cycle) reliability weight, favouring transparency and</w:t>
        <w:br/>
        <w:t>traceability over a further learned component. Section VII-C describes exactly how</w:t>
        <w:br/>
        <w:t>this reliability multiplier combines with a phase-relevance multiplier inside the</w:t>
        <w:br/>
        <w:t>decision engine.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VII. System Architecture / Framework</w:t>
      </w:r>
    </w:p>
    <w:p>
      <w:pPr>
        <w:spacing w:before="200" w:after="60"/>
      </w:pPr>
      <w:r>
        <w:rPr>
          <w:b/>
          <w:i/>
          <w:sz w:val="23"/>
        </w:rPr>
        <w:t>A. Pipeline Overview</w:t>
      </w:r>
    </w:p>
    <w:p>
      <w:r>
        <w:rPr>
          <w:b w:val="0"/>
          <w:i w:val="0"/>
        </w:rPr>
        <w:t>The system is organized into four layers, shown in Fig. 1.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261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1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Fig. 1. End-to-end pipeline overview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training layer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b w:val="0"/>
          <w:i w:val="0"/>
          <w:sz w:val="20"/>
        </w:rPr>
        <w:t>training/</w:t>
      </w:r>
      <w:r>
        <w:rPr>
          <w:b w:val="0"/>
          <w:i w:val="0"/>
        </w:rPr>
        <w:t>) contains one shared utility module and two</w:t>
        <w:br/>
        <w:t>per-role training scripts. The shared module implements the feature-engineering</w:t>
        <w:br/>
        <w:t>routines described in Section VI-B, the match-level split (Section VI-D), the</w:t>
        <w:br/>
        <w:t>categorical-encoding manifests (Section VI-C), and the metric and artifact writers</w:t>
        <w:br/>
        <w:t>used identically by every model. The bowling training script fits all 15 W-models;</w:t>
        <w:br/>
        <w:t>the batting training script fits 13 of the 15 possible B-models (B4 was never</w:t>
        <w:br/>
        <w:t>implemented and B7 — a static batter-versus-bowler lookup table — is retained as a</w:t>
        <w:br/>
        <w:t>reference artifact but does not feed the live decision engine). A separate script</w:t>
        <w:br/>
        <w:t>converts the resulting per-model validation metrics into the reliability multipliers</w:t>
        <w:br/>
        <w:t>described in Section VI-F. Fig. 11 and Fig. 12 detail how a single delivery's</w:t>
        <w:br/>
        <w:t>engineered features fan out to the role-relevant subset of models during live</w:t>
        <w:br/>
        <w:t>inference, for the bowling and batting sides respectively — the same fan-out/fan-in</w:t>
        <w:br/>
        <w:t>structure, differing only in which model cluster fires and how many models it</w:t>
        <w:br/>
        <w:t>contains.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97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odel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7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Fig. 11. Per-ball bowling-model fan-out during live inference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97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batting_mode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7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Fig. 12. Per-ball batting-model fan-out during live inference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decision-engine layer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b w:val="0"/>
          <w:i w:val="0"/>
          <w:sz w:val="20"/>
        </w:rPr>
        <w:t>decision_engine/</w:t>
      </w:r>
      <w:r>
        <w:rPr>
          <w:b w:val="0"/>
          <w:i w:val="0"/>
        </w:rPr>
        <w:t>) is the system's aggregation core</w:t>
        <w:br/>
        <w:t>and is organized as five single-responsibility components behind one orchestrating</w:t>
        <w:br/>
        <w:t>class:</w:t>
      </w:r>
    </w:p>
    <w:p>
      <w:pPr>
        <w:pStyle w:val="ListBullet"/>
      </w:pPr>
      <w:r>
        <w:rPr>
          <w:b/>
          <w:i w:val="0"/>
        </w:rPr>
        <w:t>Normalizer</w:t>
      </w:r>
      <w:r>
        <w:rPr>
          <w:b w:val="0"/>
          <w:i w:val="0"/>
        </w:rPr>
        <w:t xml:space="preserve"> — maps each model's raw output onto a common signal scale of −1</w:t>
        <w:br/>
        <w:t xml:space="preserve">  (strongly against a given action) to +1 (strongly for it), using a</w:t>
        <w:br/>
        <w:t xml:space="preserve">  type-appropriate transformation (Section VII-B).</w:t>
      </w:r>
    </w:p>
    <w:p>
      <w:pPr>
        <w:pStyle w:val="ListBullet"/>
      </w:pPr>
      <w:r>
        <w:rPr>
          <w:b/>
          <w:i w:val="0"/>
        </w:rPr>
        <w:t>Weighter</w:t>
      </w:r>
      <w:r>
        <w:rPr>
          <w:b w:val="0"/>
          <w:i w:val="0"/>
        </w:rPr>
        <w:t xml:space="preserve"> — computes, for a given model and match phase, a multiplier equal to</w:t>
        <w:br/>
        <w:t xml:space="preserve">  the product of a phase-relevance factor and the model's reliability score</w:t>
        <w:br/>
        <w:t xml:space="preserve">  (Section VII-C).</w:t>
      </w:r>
    </w:p>
    <w:p>
      <w:pPr>
        <w:pStyle w:val="ListBullet"/>
      </w:pPr>
      <w:r>
        <w:rPr>
          <w:b/>
          <w:i w:val="0"/>
        </w:rPr>
        <w:t>Aggregator</w:t>
      </w:r>
      <w:r>
        <w:rPr>
          <w:b w:val="0"/>
          <w:i w:val="0"/>
        </w:rPr>
        <w:t xml:space="preserve"> — for every model that produced a signal, looks up which candidate</w:t>
        <w:br/>
        <w:t xml:space="preserve">  actions that model is configured to support or oppose, multiplies the normalized</w:t>
        <w:br/>
        <w:t xml:space="preserve">  signal by the action direction and the model's weight, and accumulates this</w:t>
        <w:br/>
        <w:t xml:space="preserve">  contribution into a running score per candidate action, retaining a full per-action</w:t>
        <w:br/>
        <w:t xml:space="preserve">  contribution trail for later explanation.</w:t>
      </w:r>
    </w:p>
    <w:p>
      <w:pPr>
        <w:pStyle w:val="ListBullet"/>
      </w:pPr>
      <w:r>
        <w:rPr>
          <w:b/>
          <w:i w:val="0"/>
        </w:rPr>
        <w:t>RuleValidator</w:t>
      </w:r>
      <w:r>
        <w:rPr>
          <w:b w:val="0"/>
          <w:i w:val="0"/>
        </w:rPr>
        <w:t xml:space="preserve"> — walks the ranked list of candidate actions from highest score</w:t>
        <w:br/>
        <w:t xml:space="preserve">  downward and, for each, checks a small set of explicit, human-readable rules</w:t>
        <w:br/>
        <w:t xml:space="preserve">  against the live match state (for example, blocking a bowling-change</w:t>
        <w:br/>
        <w:t xml:space="preserve">  recommendation if the current bowler has bowled fewer than two overs); the first</w:t>
        <w:br/>
        <w:t xml:space="preserve">  action that is not blocked becomes the system's chosen recommendation, and every</w:t>
        <w:br/>
        <w:t xml:space="preserve">  ranked action's score and blocked/unblocked status is retained in an audit record.</w:t>
      </w:r>
    </w:p>
    <w:p>
      <w:pPr>
        <w:pStyle w:val="ListBullet"/>
      </w:pPr>
      <w:r>
        <w:rPr>
          <w:b/>
          <w:i w:val="0"/>
        </w:rPr>
        <w:t>TextGenerator</w:t>
      </w:r>
      <w:r>
        <w:rPr>
          <w:b w:val="0"/>
          <w:i w:val="0"/>
        </w:rPr>
        <w:t xml:space="preserve"> — converts the validated decision into a natural-language</w:t>
        <w:br/>
        <w:t xml:space="preserve">  tactical plan grouped by target (bowler, field, batter), with phase-appropriate</w:t>
        <w:br/>
        <w:t xml:space="preserve">  instruction templates and a deterministic, context-seeded justification sentence,</w:t>
        <w:br/>
        <w:t xml:space="preserve">  plus an explicit caveat when fewer than 60% of the role's models produced a signal</w:t>
        <w:br/>
        <w:t xml:space="preserve">  for the current context.</w:t>
      </w:r>
    </w:p>
    <w:p>
      <w:r>
        <w:rPr>
          <w:b w:val="0"/>
          <w:i w:val="0"/>
        </w:rPr>
        <w:t xml:space="preserve">A single </w:t>
      </w:r>
      <w:r>
        <w:rPr>
          <w:rFonts w:ascii="Courier New" w:hAnsi="Courier New"/>
          <w:b w:val="0"/>
          <w:i w:val="0"/>
          <w:sz w:val="20"/>
        </w:rPr>
        <w:t>DecisionEngine</w:t>
      </w:r>
      <w:r>
        <w:rPr>
          <w:b w:val="0"/>
          <w:i w:val="0"/>
        </w:rPr>
        <w:t xml:space="preserve"> class wires these five components together behind one</w:t>
        <w:br/>
      </w:r>
      <w:r>
        <w:rPr>
          <w:rFonts w:ascii="Courier New" w:hAnsi="Courier New"/>
          <w:b w:val="0"/>
          <w:i w:val="0"/>
          <w:sz w:val="20"/>
        </w:rPr>
        <w:t>decide(role, raw_model_outputs, match_state, live_state)</w:t>
      </w:r>
      <w:r>
        <w:rPr>
          <w:b w:val="0"/>
          <w:i w:val="0"/>
        </w:rPr>
        <w:t xml:space="preserve"> call, so that bowling-side</w:t>
        <w:br/>
        <w:t>and batting-side decisions share identical aggregation logic and only differ in which</w:t>
        <w:br/>
        <w:t>subset of the 28 models is routed to a given call (approximately 15 models are</w:t>
        <w:br/>
        <w:t>relevant to either role at a time).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live-inference layer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b w:val="0"/>
          <w:i w:val="0"/>
          <w:sz w:val="20"/>
        </w:rPr>
        <w:t>decision_engine/live/</w:t>
      </w:r>
      <w:r>
        <w:rPr>
          <w:b w:val="0"/>
          <w:i w:val="0"/>
        </w:rPr>
        <w:t>) turns a ball-by-ball scorecard</w:t>
        <w:br/>
        <w:t>payload into the model-ready feature vectors described in Section VI-B, loads the</w:t>
        <w:br/>
        <w:t>28 persisted models and their encoding manifests, reproduces each model's exact</w:t>
        <w:br/>
        <w:t>training-time feature order, and passes the resulting 15 raw scalar outputs (per</w:t>
        <w:br/>
        <w:t>role) into the decision engine. Fig. 9 traces this path as a request/response</w:t>
        <w:br/>
        <w:t>sequence, from the console's scorecard state through to a rendered recommendation.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09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inference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9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Fig. 9. Live-inference request sequence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service layer</w:t>
      </w:r>
      <w:r>
        <w:rPr>
          <w:b w:val="0"/>
          <w:i w:val="0"/>
        </w:rPr>
        <w:t xml:space="preserve"> exposes a single FastAPI endpoint, </w:t>
      </w:r>
      <w:r>
        <w:rPr>
          <w:rFonts w:ascii="Courier New" w:hAnsi="Courier New"/>
          <w:b w:val="0"/>
          <w:i w:val="0"/>
          <w:sz w:val="20"/>
        </w:rPr>
        <w:t>POST /api/recommend</w:t>
      </w:r>
      <w:r>
        <w:rPr>
          <w:b w:val="0"/>
          <w:i w:val="0"/>
        </w:rPr>
        <w:t>, which</w:t>
        <w:br/>
        <w:t>accepts the role, venue and team context, the full list of deliveries bowled so far</w:t>
        <w:br/>
        <w:t>in the current innings, and an optional set of match-state overrides (used to supply</w:t>
        <w:br/>
        <w:t>the required and projected run rate needed by one of the rule-validation checks,</w:t>
        <w:br/>
        <w:t>since this cannot be inferred from a single innings' ball log alone). The endpoint</w:t>
        <w:br/>
        <w:t>returns the chosen action, the full ranked and audited action list, the per-model</w:t>
        <w:br/>
        <w:t>contribution breakdown, and the raw scalar every contributing model produced.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presentation layer</w:t>
      </w:r>
      <w:r>
        <w:rPr>
          <w:b w:val="0"/>
          <w:i w:val="0"/>
        </w:rPr>
        <w:t xml:space="preserve"> is a React single-page application providing a</w:t>
        <w:br/>
        <w:t>ball-by-ball scorecard editor pre-populated with real professional-league team</w:t>
        <w:br/>
        <w:t>rosters, automatic strike-rotation and bowling-change-rule tracking, and a live</w:t>
        <w:br/>
        <w:t>detection of the strategic-timeout window that visually prompts the user to request</w:t>
        <w:br/>
        <w:t>a recommendation. On request, the recommendation, its ranked alternatives, and a</w:t>
        <w:br/>
        <w:t>per-model contribution chart are rendered for the user, with an additional</w:t>
        <w:br/>
        <w:t>diagnostics view exposing the raw output of every contributing model for research</w:t>
        <w:br/>
        <w:t>and evaluation purposes.</w:t>
      </w:r>
    </w:p>
    <w:p>
      <w:pPr>
        <w:spacing w:before="200" w:after="60"/>
      </w:pPr>
      <w:r>
        <w:rPr>
          <w:b/>
          <w:i/>
          <w:sz w:val="23"/>
        </w:rPr>
        <w:t>B. Signal Normalization</w:t>
      </w:r>
    </w:p>
    <w:p>
      <w:r>
        <w:rPr>
          <w:b w:val="0"/>
          <w:i w:val="0"/>
        </w:rPr>
        <w:t>Because the 28 models' raw outputs live on incompatible scales — unbounded</w:t>
        <w:br/>
        <w:t>regression outputs (an economy rate, a projected score), bounded probabilities in</w:t>
        <w:br/>
        <w:t>[0, 1], and already-directional but differently scaled formula outputs — the</w:t>
        <w:br/>
        <w:t>Normalizer converts every raw value onto a common [−1, +1] signal before it can be</w:t>
        <w:br/>
        <w:t>combined with any other model's output. Probability-type outputs are recentred and</w:t>
        <w:br/>
        <w:t>rescaled around the neutral point of 0.5. Formula-type outputs, which are already</w:t>
        <w:br/>
        <w:t>signed but have no fixed scale, are compressed with a hyperbolic tangent function</w:t>
        <w:br/>
        <w:t>scaled by that model's own historical output standard deviation, so that a formula</w:t>
        <w:br/>
        <w:t>with a wide historical spread is not artificially saturated at ±1 by values that are,</w:t>
        <w:br/>
        <w:t>for that model, unremarkable. Regression-type outputs are first converted to a</w:t>
        <w:br/>
        <w:t>z-score against that model's historical output distribution and then linearly mapped</w:t>
        <w:br/>
        <w:t>so that ±2 standard deviations correspond to the signal extremes of ±1, with the</w:t>
        <w:br/>
        <w:t>result clipped to the valid range. In every case the final signal is clipped to</w:t>
        <w:br/>
        <w:t>[−1, +1] as a safety bound.</w:t>
      </w:r>
    </w:p>
    <w:p>
      <w:pPr>
        <w:spacing w:before="200" w:after="60"/>
      </w:pPr>
      <w:r>
        <w:rPr>
          <w:b/>
          <w:i/>
          <w:sz w:val="23"/>
        </w:rPr>
        <w:t>C. Phase- and Reliability-Weighting</w:t>
      </w:r>
    </w:p>
    <w:p>
      <w:r>
        <w:rPr>
          <w:b w:val="0"/>
          <w:i w:val="0"/>
        </w:rPr>
        <w:t>A model's influence on the aggregated decision is the product of two independent</w:t>
        <w:br/>
        <w:t>multipliers. The first, phase relevance, reflects that a tactic's applicability</w:t>
        <w:br/>
        <w:t>depends on where the innings currently stands — for example, a yorker-effectiveness</w:t>
        <w:br/>
        <w:t>model is given low weight during the powerplay and high weight in the death overs,</w:t>
        <w:br/>
        <w:t>while a powerplay-containment model (trained, by design, only on the snapshot at the</w:t>
        <w:br/>
        <w:t>end of the sixth over) is given weight only during the powerplay and zero weight</w:t>
        <w:br/>
        <w:t>elsewhere; models without an explicit phase profile default to a neutral,</w:t>
        <w:br/>
        <w:t>phase-agnostic weight of 1.0. The second multiplier is the reliability score</w:t>
        <w:br/>
        <w:t>described in Section VI-F, loaded directly from the file the reliability-estimation</w:t>
        <w:br/>
        <w:t>script produces. The combined weight is therefore context-sensitive (it changes over</w:t>
        <w:br/>
        <w:t>the course of an innings) and evidence-sensitive (it changes whenever the underlying</w:t>
        <w:br/>
        <w:t>models are retrained and re-evaluated), rather than a static, manually assigned</w:t>
        <w:br/>
        <w:t>constant.</w:t>
      </w:r>
    </w:p>
    <w:p>
      <w:pPr>
        <w:spacing w:before="200" w:after="60"/>
      </w:pPr>
      <w:r>
        <w:rPr>
          <w:b/>
          <w:i/>
          <w:sz w:val="23"/>
        </w:rPr>
        <w:t>D. Aggregation and Rule Validation</w:t>
      </w:r>
    </w:p>
    <w:p>
      <w:r>
        <w:rPr>
          <w:b w:val="0"/>
          <w:i w:val="0"/>
        </w:rPr>
        <w:t>Fig. 6 summarizes the full internal data flow of the decision engine described in</w:t>
        <w:br/>
        <w:t>Sections VII-B–VII-E, from a role's raw model outputs through to a rendered</w:t>
        <w:br/>
        <w:t>recommendation.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183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ecision_engine_intern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Fig. 6. Decision-engine internal pipeline</w:t>
      </w:r>
    </w:p>
    <w:p>
      <w:r>
        <w:rPr>
          <w:b w:val="0"/>
          <w:i w:val="0"/>
        </w:rPr>
        <w:t>For every model that produced a signal in the current context, and for every</w:t>
        <w:br/>
        <w:t>candidate tactical action that model is configured to support or oppose, the</w:t>
        <w:br/>
        <w:t>Aggregator computes a signed contribution equal to the model's normalized signal,</w:t>
        <w:br/>
        <w:t>multiplied by a fixed per-model, per-action direction coefficient (+1 if the model's</w:t>
        <w:br/>
        <w:t>positive signal favours that action, −1 if it argues against it), multiplied by the</w:t>
        <w:br/>
        <w:t>model's context-dependent weight, and adds this contribution to a running score for</w:t>
        <w:br/>
        <w:t>that action. The direction coefficients are stored in a per-model configuration</w:t>
        <w:br/>
        <w:t>table and, where the correct sign was a judgement call rather than a verified fact</w:t>
        <w:br/>
        <w:t>(for example, whether a high projected-score signal argues for or against further</w:t>
        <w:br/>
        <w:t>batting acceleration), this is documented explicitly in the configuration rather</w:t>
        <w:br/>
        <w:t>than silently assumed. Once every model has contributed, the candidate actions are</w:t>
        <w:br/>
        <w:t>ranked by score and passed to the RuleValidator, which can demote — but never invent</w:t>
        <w:br/>
        <w:t>— a recommendation: any action that violates an explicit, human-readable domain rule</w:t>
        <w:br/>
        <w:t>(an insufficient sample of overs bowled or balls faced by the relevant player, a</w:t>
        <w:br/>
        <w:t>recent wicket, or, in the death overs, a required-run-rate gap too large for a</w:t>
        <w:br/>
        <w:t>defensive action to be sensible) is skipped in favour of the next highest-ranked,</w:t>
        <w:br/>
        <w:t>unblocked action, with the full ranked-and-annotated list retained as an audit</w:t>
        <w:br/>
        <w:t>trail regardless of which action is ultimately chosen.</w:t>
      </w:r>
    </w:p>
    <w:p>
      <w:pPr>
        <w:spacing w:before="200" w:after="60"/>
      </w:pPr>
      <w:r>
        <w:rPr>
          <w:b/>
          <w:i/>
          <w:sz w:val="23"/>
        </w:rPr>
        <w:t>E. Action Space and Natural-Language Generation</w:t>
      </w:r>
    </w:p>
    <w:p>
      <w:r>
        <w:rPr>
          <w:b w:val="0"/>
          <w:i w:val="0"/>
        </w:rPr>
        <w:t>The set of candidate actions a recommendation is chosen from is not free-form; it is</w:t>
        <w:br/>
        <w:t>drawn from a fixed, pre-authored catalogue of granular tactical directives (for</w:t>
        <w:br/>
        <w:t>example, specific field-placement and line-and-length combinations for bowling, or</w:t>
        <w:br/>
        <w:t>specific rotation-versus-acceleration directives for batting), each associated in</w:t>
        <w:br/>
        <w:t>the model configuration with the set of models that have an opinion on it and the</w:t>
        <w:br/>
        <w:t>direction (supporting or opposing) of that opinion. Restricting the action space to</w:t>
        <w:br/>
        <w:t>a fixed catalogue, rather than generating actions dynamically, keeps every action</w:t>
        <w:br/>
        <w:t>both cricket-legal and interpretable to a coach, and keeps the direction-coefficient</w:t>
        <w:br/>
        <w:t>table a finite, auditable object rather than one that would need to grow arbitrarily</w:t>
        <w:br/>
        <w:t>with the action space.</w:t>
      </w:r>
    </w:p>
    <w:p>
      <w:r>
        <w:rPr>
          <w:b w:val="0"/>
          <w:i w:val="0"/>
        </w:rPr>
        <w:t>Once the RuleValidator has produced a chosen action, the TextGenerator renders it as</w:t>
        <w:br/>
        <w:t>a short, coach-readable tactical plan rather than a bare label. Actions are grouped</w:t>
        <w:br/>
        <w:t>by their target (the bowler, the field, or the batter), combined with a</w:t>
        <w:br/>
        <w:t>phase-appropriate core instruction, and completed with a justification sentence</w:t>
        <w:br/>
        <w:t>drawn from a fixed pool associated with that action, selected deterministically from</w:t>
        <w:br/>
        <w:t>a small candidate pool seeded by the current over and ball number so that the</w:t>
        <w:br/>
        <w:t>phrasing is stable within a single decision but varies across different match</w:t>
        <w:br/>
        <w:t>situations. When fewer than 60% of the role's models produced a signal in the</w:t>
        <w:br/>
        <w:t>current context — for example, because several matchup-specific models require a</w:t>
        <w:br/>
        <w:t>specific batter/bowler pairing that has not yet been established in the innings —</w:t>
        <w:br/>
        <w:t>the generated text appends an explicit coverage caveat naming exactly how many of</w:t>
        <w:br/>
        <w:t>the role's models contributed, rather than presenting a recommendation built from</w:t>
        <w:br/>
        <w:t>partial signal with the same apparent confidence as one built from full signal.</w:t>
      </w:r>
    </w:p>
    <w:p>
      <w:pPr>
        <w:spacing w:before="200" w:after="60"/>
      </w:pPr>
      <w:r>
        <w:rPr>
          <w:b/>
          <w:i/>
          <w:sz w:val="23"/>
        </w:rPr>
        <w:t>F. Live Console: Demonstration Scenarios</w:t>
      </w:r>
    </w:p>
    <w:p>
      <w:r>
        <w:rPr>
          <w:b w:val="0"/>
          <w:i w:val="0"/>
        </w:rPr>
        <w:t>To demonstrate the framework end to end rather than only describe it, the live</w:t>
        <w:br/>
        <w:t>console was exercised against two realistic strategic-timeout scenarios, each built</w:t>
        <w:br/>
        <w:t>up ball by ball through the console's scorecard controls rather than the console's</w:t>
        <w:br/>
        <w:t>built-in sample-innings shortcut.</w:t>
      </w:r>
    </w:p>
    <w:p>
      <w:r>
        <w:rPr>
          <w:b/>
          <w:i w:val="0"/>
        </w:rPr>
        <w:t>Batting-timeout scenario (powerplay, over 5.5).</w:t>
      </w:r>
      <w:r>
        <w:rPr>
          <w:b w:val="0"/>
          <w:i w:val="0"/>
        </w:rPr>
        <w:t xml:space="preserve"> A batting-role innings was</w:t>
        <w:br/>
        <w:t>scored through the powerplay, with a wicket falling shortly before the timeout,</w:t>
        <w:br/>
        <w:t>reaching the batting strategic-timeout window the console flags automatically at</w:t>
        <w:br/>
        <w:t>50/2 after 5.5 overs (CRR 8.57). Fig. 13 shows the resulting dashboard: the live</w:t>
        <w:br/>
        <w:t>scorecard, the timeout-window indicator, and the decision engine's ranked</w:t>
        <w:br/>
        <w:t>recommendation for the batting side at this point in the innings — the top-ranked</w:t>
        <w:br/>
        <w:t>action responds directly to the recent wicket.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269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top_frontend_batting_over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Fig. 13. Live console — batting-role scenario at 50/2, over 5.5 (powerplay)</w:t>
      </w:r>
    </w:p>
    <w:p>
      <w:r>
        <w:rPr>
          <w:b/>
          <w:i w:val="0"/>
        </w:rPr>
        <w:t>Bowling-timeout scenario (middle overs, over 13.4).</w:t>
      </w:r>
      <w:r>
        <w:rPr>
          <w:b w:val="0"/>
          <w:i w:val="0"/>
        </w:rPr>
        <w:t xml:space="preserve"> A separate, independent</w:t>
        <w:br/>
        <w:t>bowling-role scenario was built up to 114/1 after 13.4 overs (CRR 8.34) — inside</w:t>
        <w:br/>
        <w:t>the middle-overs window — with bowler rotation consistent with the console's</w:t>
        <w:br/>
        <w:t>enforced bowling-change rules (no more than four overs per bowler, no consecutive</w:t>
        <w:br/>
        <w:t>overs for the same bowler). Fig. 14 shows the resulting dashboard for the bowling</w:t>
        <w:br/>
        <w:t>side at this point in the innings.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44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top_frontend_bowling_over_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4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Fig. 14. Live console — bowling-role scenario at 114/1, over 13.4 (middle overs)</w:t>
      </w:r>
    </w:p>
    <w:p>
      <w:r>
        <w:rPr>
          <w:b w:val="0"/>
          <w:i w:val="0"/>
        </w:rPr>
        <w:t>Both scenarios use the console's real, working team-roster data rather than</w:t>
        <w:br/>
        <w:t>placeholder names, since the purpose of these figures is to demonstrate the actual</w:t>
        <w:br/>
        <w:t>system rather than a mockup of it.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VIII. Dataset Description</w:t>
      </w:r>
    </w:p>
    <w:p>
      <w:r>
        <w:rPr>
          <w:b w:val="0"/>
          <w:i w:val="0"/>
        </w:rPr>
        <w:t>The system is trained on a ball-by-ball record of 1,212 professional T20</w:t>
        <w:br/>
        <w:t>franchise-league matches, comprising approximately 288,000 individual deliveries.</w:t>
        <w:br/>
        <w:t>Each row of the dataset records, at minimum: a match and innings identifier; the</w:t>
        <w:br/>
        <w:t>over and ball-within-over number; the batting and bowling team; the venue; the</w:t>
        <w:br/>
        <w:t>batter, non-striker, and bowler involved; the runs scored off the bat and the</w:t>
        <w:br/>
        <w:t>delivery's total runs (including extras); wide and no-ball indicators; bye and</w:t>
        <w:br/>
        <w:t>leg-bye counts; a wicket indicator and, where applicable, the mode of dismissal; and</w:t>
        <w:br/>
        <w:t>three mutually exclusive phase indicators marking whether the delivery falls in the</w:t>
        <w:br/>
        <w:t>powerplay, the middle overs, or the death overs.</w:t>
      </w:r>
    </w:p>
    <w:p>
      <w:r>
        <w:rPr>
          <w:b w:val="0"/>
          <w:i w:val="0"/>
        </w:rPr>
        <w:t>From this raw record, the shared feature-engineering routines described in Section</w:t>
        <w:br/>
        <w:t>VI-B derive two families of point-in-time features — the bowling-side running-spell</w:t>
        <w:br/>
        <w:t>statistics and the batting-side running-innings statistics — that are recomputed</w:t>
        <w:br/>
        <w:t>identically whether the source is the historical training dataset or a live,</w:t>
        <w:br/>
        <w:t>in-progress scorecard supplied to the system at inference time. Training examples for</w:t>
        <w:br/>
        <w:t>the bowling-side models are restricted to the specific deliveries that end each of</w:t>
        <w:br/>
        <w:t>four snapshot overs, aligning every training row with the point in an innings at</w:t>
        <w:br/>
        <w:t>which the system's real recommendation would actually be requested.</w:t>
      </w:r>
    </w:p>
    <w:p>
      <w:r>
        <w:rPr>
          <w:b w:val="0"/>
          <w:i w:val="0"/>
        </w:rPr>
        <w:t>The dataset has three disclosed structural limitations that bound what several</w:t>
        <w:br/>
        <w:t>models can claim to measure: it contains no field recording whether a bowler is</w:t>
        <w:br/>
        <w:t>predominantly a pace or spin bowler, no field distinguishing delivery types (for</w:t>
        <w:br/>
        <w:t>example, a yorker or a bouncer from a standard-length delivery), and no field</w:t>
        <w:br/>
        <w:t>recording a batter's batting-hand. Five models (Section XII-A) are consequently</w:t>
        <w:br/>
        <w:t>unable to condition on the specific tactical distinction their names suggest and are</w:t>
        <w:br/>
        <w:t>documented, per-model, as measuring a related but coarser quantity instead. This</w:t>
        <w:br/>
        <w:t>disclosure is made directly in the model configuration rather than only in this</w:t>
        <w:br/>
        <w:t>paper, so that any downstream user of the system's output inherits the same caveat.</w:t>
        <w:br/>
        <w:t>The dataset is drawn from a single professional T20 franchise league; Section XII-D</w:t>
        <w:br/>
        <w:t>discusses what this does and does not license the system's results to claim about</w:t>
        <w:br/>
        <w:t>T20 cricket more broadly.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IX. Experimental Setup</w:t>
      </w:r>
    </w:p>
    <w:p>
      <w:r>
        <w:rPr>
          <w:b w:val="0"/>
          <w:i w:val="0"/>
        </w:rPr>
        <w:t>All 28 models were trained on a single machine using the shared pipeline described</w:t>
        <w:br/>
        <w:t>in Section VI. For every model, the full set of unique match identifiers was shuffled</w:t>
        <w:br/>
        <w:t>with a fixed random seed (42) and split 80% / 20% into training and test matches,</w:t>
        <w:br/>
        <w:t>guaranteeing that no delivery from a held-out match's data contributed to that</w:t>
        <w:br/>
        <w:t>model's training in any form. Hyperparameters (Section XI) were set per model</w:t>
        <w:br/>
        <w:t>according to the target's structure and the rationale in Table 0 (Section VI-E), and</w:t>
        <w:br/>
        <w:t>were not subject to an automated tuning search in this iteration of the system; this</w:t>
        <w:br/>
        <w:t>is disclosed as a scope limitation in Section XII rather than presented as an</w:t>
        <w:br/>
        <w:t>exhaustively tuned result.</w:t>
      </w:r>
    </w:p>
    <w:p>
      <w:r>
        <w:rPr>
          <w:b w:val="0"/>
          <w:i w:val="0"/>
        </w:rPr>
        <w:t>Every regression model reports mean absolute error (MAE), root mean squared error</w:t>
        <w:br/>
        <w:t>(RMSE), and the coefficient of determination (R²) computed on the held-out test</w:t>
        <w:br/>
        <w:t>matches only. Every classification model reports accuracy, precision, recall, F1</w:t>
        <w:br/>
        <w:t>score, and — where the predicted probability was available and the test set</w:t>
        <w:br/>
        <w:t>contained both classes — the area under the receiver operating characteristic curve</w:t>
        <w:br/>
        <w:t>(ROC-AUC), each computed on the held-out test matches only. The one survival-analysis</w:t>
        <w:br/>
        <w:t>model (dismissal risk) is evaluated with a calibration-style comparison between the</w:t>
        <w:br/>
        <w:t>proportion of deliveries it flags as high risk and the proportion that were actually</w:t>
        <w:br/>
        <w:t>followed by a dismissal, since a hazard score is not directly comparable to a binary</w:t>
        <w:br/>
        <w:t>classification metric. The one lookup-table component (bowler-form baseline) is</w:t>
        <w:br/>
        <w:t>evaluated by the correlation between its train-only-derived lookup value and each</w:t>
        <w:br/>
        <w:t>bowler's actual future economy rate in the test set. The two hand-tuned scoring</w:t>
        <w:br/>
        <w:t>formulae are reported descriptively (mean, standard deviation, sample size) since</w:t>
        <w:br/>
        <w:t>they are not fitted to a target and therefore have no held-out accuracy to report.</w:t>
      </w:r>
    </w:p>
    <w:p>
      <w:pPr>
        <w:spacing w:before="200" w:after="60"/>
      </w:pPr>
      <w:r>
        <w:rPr>
          <w:b/>
          <w:i/>
          <w:sz w:val="23"/>
        </w:rPr>
        <w:t>A. The Leakage and Methodology Audit</w:t>
      </w:r>
    </w:p>
    <w:p>
      <w:r>
        <w:rPr>
          <w:b w:val="0"/>
          <w:i w:val="0"/>
        </w:rPr>
        <w:t>Before the results in Section XI were produced, the model suite was subjected to a</w:t>
        <w:br/>
        <w:t>systematic audit, motivated by the observation that several models were reporting</w:t>
        <w:br/>
        <w:t>implausibly strong validation metrics. The audit proceeded model by model and found</w:t>
        <w:br/>
        <w:t>four distinct classes of defect, each corrected before the final training run:</w:t>
      </w:r>
    </w:p>
    <w:p>
      <w:r>
        <w:rPr>
          <w:b/>
          <w:i w:val="0"/>
        </w:rPr>
        <w:t>Target leakage.</w:t>
      </w:r>
      <w:r>
        <w:rPr>
          <w:b w:val="0"/>
          <w:i w:val="0"/>
        </w:rPr>
        <w:t xml:space="preserve"> Four models — an acceleration-capability regressor, a</w:t>
        <w:br/>
        <w:t>death-over optimization regressor, a strike-rotation classifier, and a</w:t>
        <w:br/>
        <w:t>wicket-loss-mitigation classifier — included, among their input features, quantities</w:t>
        <w:br/>
        <w:t>that were direct functions of the very delivery whose outcome they were trying to</w:t>
        <w:br/>
        <w:t>predict (specifically, whether that same delivery was a dot ball or a boundary). The</w:t>
        <w:br/>
        <w:t>clearest evidence that this leakage was real, rather than a modelling artefact, is</w:t>
        <w:br/>
        <w:t>the acceleration model's R² falling from 0.92 before the fix to 0.15 after it — 0.92</w:t>
        <w:br/>
        <w:t>is not a credible score for predicting the exact number of runs off one specific,</w:t>
        <w:br/>
        <w:t>not-yet-bowled death-over delivery from pre-ball context, while 0.15 is.</w:t>
      </w:r>
    </w:p>
    <w:p>
      <w:r>
        <w:rPr>
          <w:b/>
          <w:i w:val="0"/>
        </w:rPr>
        <w:t>Absent or row-level train/test splitting.</w:t>
      </w:r>
      <w:r>
        <w:rPr>
          <w:b w:val="0"/>
          <w:i w:val="0"/>
        </w:rPr>
        <w:t xml:space="preserve"> Six models originally used either a</w:t>
        <w:br/>
        <w:t>naive, sequential row-level split (in which consecutive rows — often from the same</w:t>
        <w:br/>
        <w:t>match — could be divided arbitrarily between train and test) or no split at all</w:t>
        <w:br/>
        <w:t>(evaluating a model on the same rows it was fitted on); one additionally fit on a</w:t>
        <w:br/>
        <w:t xml:space="preserve">fixed subset of the first rows in file order and then evaluated on the </w:t>
      </w:r>
      <w:r>
        <w:rPr>
          <w:b w:val="0"/>
          <w:i/>
        </w:rPr>
        <w:t>entire</w:t>
      </w:r>
      <w:r>
        <w:rPr>
          <w:b w:val="0"/>
          <w:i w:val="0"/>
        </w:rPr>
        <w:br/>
        <w:t>dataset, including the rows it had already trained on. All six were corrected to use</w:t>
        <w:br/>
        <w:t>the shared match-level split function described in Section VI-D.</w:t>
      </w:r>
    </w:p>
    <w:p>
      <w:r>
        <w:rPr>
          <w:b/>
          <w:i w:val="0"/>
        </w:rPr>
        <w:t>Test-set contamination in a non-parametric lookup table.</w:t>
      </w:r>
      <w:r>
        <w:rPr>
          <w:b w:val="0"/>
          <w:i w:val="0"/>
        </w:rPr>
        <w:t xml:space="preserve"> The bowler-form</w:t>
        <w:br/>
        <w:t>baseline model builds a per-bowler "career economy" figure used as a naive predictor</w:t>
        <w:br/>
        <w:t>of that bowler's future performance. In its original form, this lookup was built from</w:t>
        <w:br/>
        <w:t xml:space="preserve">the </w:t>
      </w:r>
      <w:r>
        <w:rPr>
          <w:b w:val="0"/>
          <w:i/>
        </w:rPr>
        <w:t>entire</w:t>
      </w:r>
      <w:r>
        <w:rPr>
          <w:b w:val="0"/>
          <w:i w:val="0"/>
        </w:rPr>
        <w:t xml:space="preserve"> dataset, including matches nominally held out as the test set — meaning</w:t>
        <w:br/>
        <w:t>a bowler's test-set outcome was already partially baked into the value being</w:t>
        <w:br/>
        <w:t>evaluated against it. The lookup was rebuilt using only training-match data, with a</w:t>
        <w:br/>
        <w:t>documented fallback (the global average) for any bowler absent from the training</w:t>
        <w:br/>
        <w:t>set, and re-validated via the correlation between the train-only lookup value and</w:t>
        <w:br/>
        <w:t>each bowler's actual future economy in the test set (0.134 — a modest but genuine</w:t>
        <w:br/>
        <w:t>signal, appropriately weak for a coarse career-average proxy).</w:t>
      </w:r>
    </w:p>
    <w:p>
      <w:r>
        <w:rPr>
          <w:b/>
          <w:i w:val="0"/>
        </w:rPr>
        <w:t>A structurally degenerate forecasting model.</w:t>
      </w:r>
      <w:r>
        <w:rPr>
          <w:b w:val="0"/>
          <w:i w:val="0"/>
        </w:rPr>
        <w:t xml:space="preserve"> An economy-trend model was</w:t>
        <w:br/>
        <w:t>originally implemented as a single, global ARIMA(2,1,2) time-series model fit across</w:t>
        <w:br/>
        <w:t>every bowler's economy figures concatenated into one undifferentiated sequence, with</w:t>
        <w:br/>
        <w:t>no notion of bowler identity. Multi-step ARIMA forecasts converge toward the series</w:t>
        <w:br/>
        <w:t>mean, which is why this model's saved predictions had an essentially zero standard</w:t>
        <w:br/>
        <w:t>deviation (approximately 0.00016) — the model was structurally incapable of</w:t>
        <w:br/>
        <w:t>producing a bowler-specific forecast, and had no mechanism for producing a live,</w:t>
        <w:br/>
        <w:t>per-bowler prediction at all. It was replaced with a supervised regression using the</w:t>
        <w:br/>
        <w:t>same snapshot-feature template as every other bowling-side model. The replacement's</w:t>
        <w:br/>
        <w:t>predictions have a realistic standard deviation (2.27) but a negative R² (−0.12) —</w:t>
        <w:br/>
        <w:t>worse, by this metric, than predicting the mean. This result is reported without</w:t>
        <w:br/>
        <w:t>adjustment, and the model's low reliability weight (0.20, the configured floor) is a</w:t>
        <w:br/>
        <w:t>direct, disclosed consequence of it.</w:t>
      </w:r>
    </w:p>
    <w:p>
      <w:r>
        <w:rPr>
          <w:b/>
          <w:i w:val="0"/>
        </w:rPr>
        <w:t>Unintentional model duplication.</w:t>
      </w:r>
      <w:r>
        <w:rPr>
          <w:b w:val="0"/>
          <w:i w:val="0"/>
        </w:rPr>
        <w:t xml:space="preserve"> Two models — nominally a death-over accuracy</w:t>
        <w:br/>
        <w:t>model and a powerplay containment model — were found to share an identical target</w:t>
        <w:br/>
        <w:t>formula, an identical feature set, and an identical algorithm (LightGBM), and</w:t>
        <w:br/>
        <w:t>consequently produced byte-identical output despite being presented as two distinct</w:t>
        <w:br/>
        <w:t>tactical models. This was corrected by phase-filtering each model's training data to</w:t>
        <w:br/>
        <w:t>the specific snapshot its name implies (over 15 for the death-over model, over 5 for</w:t>
        <w:br/>
        <w:t>the powerplay model), after which the two models' metrics diverged meaningfully</w:t>
        <w:br/>
        <w:t>(0.642 vs. 0.710 accuracy). A related model (yorker effectiveness) was found to share</w:t>
        <w:br/>
        <w:t>the same target formula as well, differing only in its algorithm; its target was</w:t>
        <w:br/>
        <w:t>redefined to measure boundary prevention specifically, removing the overlap.</w:t>
      </w:r>
    </w:p>
    <w:p>
      <w:r>
        <w:rPr>
          <w:b w:val="0"/>
          <w:i w:val="0"/>
        </w:rPr>
        <w:t>Fig. 10 illustrates the corrected, leakage-safe splitting procedure now used</w:t>
        <w:br/>
        <w:t>uniformly across all 28 models.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78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training_spl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Fig. 10. Leakage-safe match-level train/test split procedure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X. Performance Metrics</w:t>
      </w:r>
    </w:p>
    <w:p>
      <w:r>
        <w:rPr>
          <w:b w:val="0"/>
          <w:i w:val="0"/>
        </w:rPr>
        <w:t>Model performance is reported using metrics chosen for the structure of each model's</w:t>
        <w:br/>
        <w:t>target, consistent with standard practice for the respective task family:</w:t>
      </w:r>
    </w:p>
    <w:p>
      <w:pPr>
        <w:pStyle w:val="ListBullet"/>
      </w:pPr>
      <w:r>
        <w:rPr>
          <w:b/>
          <w:i w:val="0"/>
        </w:rPr>
        <w:t>Regression models</w:t>
      </w:r>
      <w:r>
        <w:rPr>
          <w:b w:val="0"/>
          <w:i w:val="0"/>
        </w:rPr>
        <w:t xml:space="preserve"> (predicting a continuous quantity, such as an economy rate,</w:t>
        <w:br/>
        <w:t xml:space="preserve">  a projected score, or a partnership contribution) are evaluated with the</w:t>
        <w:br/>
        <w:t xml:space="preserve">  coefficient of determination (R², the proportion of variance in the held-out</w:t>
        <w:br/>
        <w:t xml:space="preserve">  target explained by the model, with 0 corresponding to no better than predicting</w:t>
        <w:br/>
        <w:t xml:space="preserve">  the mean and negative values indicating worse than the mean), mean absolute error</w:t>
        <w:br/>
        <w:t xml:space="preserve">  (MAE, in the target's native units), and root mean squared error (RMSE, which</w:t>
        <w:br/>
        <w:t xml:space="preserve">  penalizes large errors more heavily than MAE).</w:t>
      </w:r>
    </w:p>
    <w:p>
      <w:pPr>
        <w:pStyle w:val="ListBullet"/>
      </w:pPr>
      <w:r>
        <w:rPr>
          <w:b/>
          <w:i w:val="0"/>
        </w:rPr>
        <w:t>Classification models</w:t>
      </w:r>
      <w:r>
        <w:rPr>
          <w:b w:val="0"/>
          <w:i w:val="0"/>
        </w:rPr>
        <w:t xml:space="preserve"> (predicting a binary or multi-class tactical outcome,</w:t>
        <w:br/>
        <w:t xml:space="preserve">  such as whether a wicket falls or whether a delivery is dot-balled) are evaluated</w:t>
        <w:br/>
        <w:t xml:space="preserve">  with accuracy, precision, recall, F1 score, and, where computable, the area under</w:t>
        <w:br/>
        <w:t xml:space="preserve">  the ROC curve — reported alongside the relevant class-imbalance baseline where that</w:t>
        <w:br/>
        <w:t xml:space="preserve">  context materially affects interpretation (for example, a three-class</w:t>
        <w:br/>
        <w:t xml:space="preserve">  shot-aggression model's 45.2% accuracy against a 33.3% random baseline).</w:t>
      </w:r>
    </w:p>
    <w:p>
      <w:pPr>
        <w:pStyle w:val="ListBullet"/>
      </w:pPr>
      <w:r>
        <w:rPr>
          <w:b/>
          <w:i w:val="0"/>
        </w:rPr>
        <w:t>The survival-analysis model</w:t>
      </w:r>
      <w:r>
        <w:rPr>
          <w:b w:val="0"/>
          <w:i w:val="0"/>
        </w:rPr>
        <w:t xml:space="preserve"> (dismissal risk) is evaluated with a</w:t>
        <w:br/>
        <w:t xml:space="preserve">  calibration-style comparison between its flagged high-risk rate and the observed</w:t>
        <w:br/>
        <w:t xml:space="preserve">  dismissal rate on the held-out set, since its native output is a relative hazard</w:t>
        <w:br/>
        <w:t xml:space="preserve">  rather than a bounded probability.</w:t>
      </w:r>
    </w:p>
    <w:p>
      <w:pPr>
        <w:pStyle w:val="ListBullet"/>
      </w:pPr>
      <w:r>
        <w:rPr>
          <w:b/>
          <w:i w:val="0"/>
        </w:rPr>
        <w:t>The lookup-table baseline</w:t>
      </w:r>
      <w:r>
        <w:rPr>
          <w:b w:val="0"/>
          <w:i w:val="0"/>
        </w:rPr>
        <w:t xml:space="preserve"> (bowler form) is evaluated with a Pearson correlation</w:t>
        <w:br/>
        <w:t xml:space="preserve">  between its train-only-derived estimate and the corresponding held-out outcome.</w:t>
      </w:r>
    </w:p>
    <w:p>
      <w:pPr>
        <w:pStyle w:val="ListBullet"/>
      </w:pPr>
      <w:r>
        <w:rPr>
          <w:b/>
          <w:i w:val="0"/>
        </w:rPr>
        <w:t>The two hand-tuned formulae</w:t>
      </w:r>
      <w:r>
        <w:rPr>
          <w:b w:val="0"/>
          <w:i w:val="0"/>
        </w:rPr>
        <w:t xml:space="preserve"> are not evaluated against a held-out target — they</w:t>
        <w:br/>
        <w:t xml:space="preserve">  are not fitted models — and are instead reported descriptively (mean, standard</w:t>
        <w:br/>
        <w:t xml:space="preserve">  deviation, sample size) and assigned a documented, neutral reliability weight in</w:t>
        <w:br/>
        <w:t xml:space="preserve">  the decision engine rather than an invented accuracy figure.</w:t>
      </w:r>
    </w:p>
    <w:p>
      <w:r>
        <w:rPr>
          <w:b w:val="0"/>
          <w:i w:val="0"/>
        </w:rPr>
        <w:t>All metrics reported in Section XI are computed exclusively on the 20% of matches</w:t>
        <w:br/>
        <w:t>held out by the match-level split described in Section VI-D and IX-A; no reported</w:t>
        <w:br/>
        <w:t>metric reflects performance on data used during training.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XI. Results</w:t>
      </w:r>
    </w:p>
    <w:p>
      <w:r>
        <w:rPr>
          <w:b w:val="0"/>
          <w:i w:val="0"/>
        </w:rPr>
        <w:t>Table I reports the held-out test performance of the ten most reliable of the 28</w:t>
        <w:br/>
        <w:t>models — five bowling-side, five batting-side — together with the algorithm used and</w:t>
        <w:br/>
        <w:t>the data-driven reliability weight the decision engine currently assigns to each.</w:t>
        <w:br/>
        <w:t>Full per-model figures for all 28 models are computed on the same match-level</w:t>
        <w:br/>
        <w:t>held-out test split (Section VI-D) and are summarized visually across the whole</w:t>
        <w:br/>
        <w:t>suite in Fig. 2 and Fig. 3 (Section XI-B); metrics below are rounded to three</w:t>
        <w:br/>
        <w:t>decimal places.</w:t>
      </w:r>
    </w:p>
    <w:p>
      <w:r>
        <w:rPr>
          <w:b/>
          <w:i w:val="0"/>
        </w:rPr>
        <w:t>Table I. Top 10 models by reliability weight (of 28).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1625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1625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Tactical facet</w:t>
            </w:r>
          </w:p>
        </w:tc>
        <w:tc>
          <w:tcPr>
            <w:tcW w:type="dxa" w:w="1625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Algorithm</w:t>
            </w:r>
          </w:p>
        </w:tc>
        <w:tc>
          <w:tcPr>
            <w:tcW w:type="dxa" w:w="1625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Key metric(s)</w:t>
            </w:r>
          </w:p>
        </w:tc>
        <w:tc>
          <w:tcPr>
            <w:tcW w:type="dxa" w:w="1625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Reliability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W3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Bowling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Dot Ball Pressure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XGBoost regressor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R² 0.682, MAE 0.056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0.879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W1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Bowling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Economy Predictor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LightGBM regressor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R² 0.648, MAE 1.265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0.848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B15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Batting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Death-Over Optimization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XGBoost regressor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R² 0.587, MAE 8.066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0.786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W7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Bowling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Spin Control *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Random forest classifier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ROC-AUC 0.782, Acc 0.714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0.739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W15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Bowling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Powerplay Containment *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LightGBM classifier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ROC-AUC 0.772, Acc 0.710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0.727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B6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Batting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Partnership Stability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Random forest regressor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R² 0.511, MAE 10.060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0.711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W8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Bowling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Yorker Effectiveness *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CatBoost classifier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ROC-AUC 0.755, Acc 0.700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0.706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W5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Bowling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Bowling Change Optimization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Hand-tuned formula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mean 1.097, σ 3.286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0.700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W10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Bowling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Field-Set Optimization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Hand-tuned formula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mean −2.095, σ 1.946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0.700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B5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Batting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Strike Rotation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Logistic regression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ROC-AUC 0.749, Acc 0.672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0.699</w:t>
            </w:r>
          </w:p>
        </w:tc>
      </w:tr>
    </w:tbl>
    <w:p>
      <w:pPr>
        <w:spacing w:after="160"/>
      </w:pPr>
    </w:p>
    <w:p>
      <w:r>
        <w:rPr>
          <w:b w:val="0"/>
          <w:i w:val="0"/>
        </w:rPr>
        <w:t>* Dataset limitation applies (Section XII-A) — the model measures a coarser</w:t>
        <w:br/>
        <w:t>proxy of the tactic its label implies because the underlying delivery-type,</w:t>
        <w:br/>
        <w:t>bowler-type, or handedness field is not present in the source data.</w:t>
      </w:r>
    </w:p>
    <w:p>
      <w:r>
        <w:rPr>
          <w:b w:val="0"/>
          <w:i w:val="0"/>
        </w:rPr>
        <w:t>At the other end of the ranking, W14 (Economy Trend Analysis, R² = −0.124) is the</w:t>
        <w:br/>
        <w:t>suite's weakest model and sits at the configured reliability floor of 0.20; B9</w:t>
        <w:br/>
        <w:t>(Spin Vulnerability, ROC-AUC 0.602) illustrates a sharper failure mode discussed in</w:t>
        <w:br/>
        <w:t>Section XII-B. As one concrete illustration of what a single model's held-out</w:t>
        <w:br/>
        <w:t>evaluation looks like beyond a summary metric, Fig. 8 shows B5's full ROC curve and</w:t>
        <w:br/>
        <w:t>threshold-0.5 confusion matrix on the held-out test matches, computed directly from</w:t>
        <w:br/>
      </w:r>
      <w:r>
        <w:rPr>
          <w:rFonts w:ascii="Courier New" w:hAnsi="Courier New"/>
          <w:b w:val="0"/>
          <w:i w:val="0"/>
          <w:sz w:val="20"/>
        </w:rPr>
        <w:t>B5_results.csv</w:t>
      </w:r>
      <w:r>
        <w:rPr>
          <w:b w:val="0"/>
          <w:i w:val="0"/>
        </w:rPr>
        <w:t>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206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b5_classification_perform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0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Fig. 8. B5 (Strike Rotation): ROC curve and confusion matrix on held-out test matches</w:t>
      </w:r>
    </w:p>
    <w:p>
      <w:pPr>
        <w:spacing w:before="200" w:after="60"/>
      </w:pPr>
      <w:r>
        <w:rPr>
          <w:b/>
          <w:i/>
          <w:sz w:val="23"/>
        </w:rPr>
        <w:t>A. Illustrative End-to-End Trace</w:t>
      </w:r>
    </w:p>
    <w:p>
      <w:r>
        <w:rPr>
          <w:b w:val="0"/>
          <w:i w:val="0"/>
        </w:rPr>
        <w:t>To make the abstract description in Section VII concrete, this subsection traces one</w:t>
        <w:br/>
        <w:t>representative decision cycle using the system's real, documented constants — the</w:t>
        <w:br/>
        <w:t>per-model historical output mean and standard deviation used by the Normalizer, the</w:t>
        <w:br/>
        <w:t>phase-relevance multipliers used by the Weighter, and the trained reliability weights</w:t>
        <w:br/>
        <w:t>from Table I — with the raw model outputs themselves chosen illustratively, since no</w:t>
        <w:br/>
        <w:t>single logged live prediction is being reported here as a claimed result.</w:t>
      </w:r>
    </w:p>
    <w:p>
      <w:r>
        <w:rPr>
          <w:b w:val="0"/>
          <w:i w:val="0"/>
        </w:rPr>
        <w:t>Consider a bowling-role decision requested at the death-overs snapshot (the end of</w:t>
        <w:br/>
        <w:t>over 15), where the Economy Predictor (W1) returns a raw predicted economy of 11.2</w:t>
        <w:br/>
        <w:t>runs per over. W1's historical output distribution has a mean of 8.416 and a</w:t>
        <w:br/>
        <w:t>standard deviation of 2.532 (Section VI-B); the Normalizer computes a z-score of</w:t>
        <w:br/>
        <w:t>(11.2 − 8.416) / 2.532 ≈ 1.10, and — because W1 is a regression-type model — maps</w:t>
        <w:br/>
        <w:t xml:space="preserve">this onto a signal via </w:t>
      </w:r>
      <w:r>
        <w:rPr>
          <w:rFonts w:ascii="Courier New" w:hAnsi="Courier New"/>
          <w:b w:val="0"/>
          <w:i w:val="0"/>
          <w:sz w:val="20"/>
        </w:rPr>
        <w:t>clip(z / 2, −1, 1)</w:t>
      </w:r>
      <w:r>
        <w:rPr>
          <w:b w:val="0"/>
          <w:i w:val="0"/>
        </w:rPr>
        <w:t>, giving a signal of approximately +0.55.</w:t>
        <w:br/>
        <w:t>This is positive because a predicted economy well above this bowler's typical figure</w:t>
        <w:br/>
        <w:t xml:space="preserve">argues in favour of intervention: </w:t>
      </w:r>
      <w:r>
        <w:rPr>
          <w:rFonts w:ascii="Courier New" w:hAnsi="Courier New"/>
          <w:b w:val="0"/>
          <w:i w:val="0"/>
          <w:sz w:val="20"/>
        </w:rPr>
        <w:t>change_bowler</w:t>
      </w:r>
      <w:r>
        <w:rPr>
          <w:b w:val="0"/>
          <w:i w:val="0"/>
        </w:rPr>
        <w:t xml:space="preserve"> carries a direction coefficient of</w:t>
        <w:br/>
        <w:t xml:space="preserve">+1 and </w:t>
      </w:r>
      <w:r>
        <w:rPr>
          <w:rFonts w:ascii="Courier New" w:hAnsi="Courier New"/>
          <w:b w:val="0"/>
          <w:i w:val="0"/>
          <w:sz w:val="20"/>
        </w:rPr>
        <w:t>maintain_current_bowler</w:t>
      </w:r>
      <w:r>
        <w:rPr>
          <w:b w:val="0"/>
          <w:i w:val="0"/>
        </w:rPr>
        <w:t xml:space="preserve"> carries −1. W1 is not listed in the phase-relevance</w:t>
        <w:br/>
        <w:t>table and so receives the default multiplier of 1.0 for every phase; combined with</w:t>
        <w:br/>
        <w:t>its reliability weight of 0.848 (Table I), its effective weight here is 0.848, and</w:t>
        <w:br/>
        <w:t xml:space="preserve">its contribution to the </w:t>
      </w:r>
      <w:r>
        <w:rPr>
          <w:rFonts w:ascii="Courier New" w:hAnsi="Courier New"/>
          <w:b w:val="0"/>
          <w:i w:val="0"/>
          <w:sz w:val="20"/>
        </w:rPr>
        <w:t>change_bowler</w:t>
      </w:r>
      <w:r>
        <w:rPr>
          <w:b w:val="0"/>
          <w:i w:val="0"/>
        </w:rPr>
        <w:t xml:space="preserve"> score is 0.55 × (+1) × 0.848 ≈ +0.466.</w:t>
      </w:r>
    </w:p>
    <w:p>
      <w:r>
        <w:rPr>
          <w:b w:val="0"/>
          <w:i w:val="0"/>
        </w:rPr>
        <w:t>The Yorker Effectiveness model (W8) illustrates the phase-relevance mechanism: for a</w:t>
        <w:br/>
        <w:t>raw predicted probability of 0.71, the Normalizer computes (0.71 − 0.5) × 2 = 0.42</w:t>
        <w:br/>
        <w:t>directly (probability-type outputs are already scaled). W8 is listed with a</w:t>
        <w:br/>
        <w:t>death-overs phase multiplier of 1.3, giving an effective weight of 1.3 × 0.706 ≈</w:t>
        <w:br/>
        <w:t>0.918 in the death overs versus just 0.2 × 0.706 ≈ 0.141 in the powerplay — the same</w:t>
        <w:br/>
        <w:t>trained model made to matter more or less to the aggregated recommendation purely as</w:t>
        <w:br/>
        <w:t>a function of where the ball falls in the innings, without retraining anything.</w:t>
        <w:br/>
        <w:t>Fig. 4 plots this example numerically across all three phases, and Fig. 5 shows the</w:t>
        <w:br/>
        <w:t>real, held-out predicted-versus-actual fit and feature-importance ranking underlying</w:t>
        <w:br/>
        <w:t xml:space="preserve">the W1 example above, computed directly from </w:t>
      </w:r>
      <w:r>
        <w:rPr>
          <w:rFonts w:ascii="Courier New" w:hAnsi="Courier New"/>
          <w:b w:val="0"/>
          <w:i w:val="0"/>
          <w:sz w:val="20"/>
        </w:rPr>
        <w:t>W1_results.csv</w:t>
      </w:r>
      <w:r>
        <w:rPr>
          <w:b w:val="0"/>
          <w:i w:val="0"/>
        </w:rPr>
        <w:t xml:space="preserve"> and</w:t>
        <w:br/>
      </w:r>
      <w:r>
        <w:rPr>
          <w:rFonts w:ascii="Courier New" w:hAnsi="Courier New"/>
          <w:b w:val="0"/>
          <w:i w:val="0"/>
          <w:sz w:val="20"/>
        </w:rPr>
        <w:t>W1_feature_importance.csv</w:t>
      </w:r>
      <w:r>
        <w:rPr>
          <w:b w:val="0"/>
          <w:i w:val="0"/>
        </w:rPr>
        <w:t>; the model's most important feature is, unsurprisingly,</w:t>
        <w:br/>
        <w:t>the bowler's current economy in the ongoing spell.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hase_weight_examp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Fig. 4. W8 effective weight across match phase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9926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w1_predicted_vs_actu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Fig. 5. W1 (Economy Predictor): predicted vs. actual economy on held-out test matches, and its feature-importance ranking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2885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b_w1_feature_import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Every model relevant to the requested role that produces a signal in a given context</w:t>
        <w:br/>
        <w:t>contributes to the running score of every action it is configured for in exactly</w:t>
        <w:br/>
        <w:t>this way; the Aggregator sums these signed, weighted contributions per candidate</w:t>
        <w:br/>
        <w:t>action, the RuleValidator removes any action that violates a hard constraint from</w:t>
        <w:br/>
        <w:t>contention, and the highest-scoring remaining action becomes the system's</w:t>
        <w:br/>
        <w:t>recommendation, with every contributing model's individual contribution retained for</w:t>
        <w:br/>
        <w:t>the audit trail shown in the live console.</w:t>
      </w:r>
    </w:p>
    <w:p>
      <w:pPr>
        <w:spacing w:before="200" w:after="60"/>
      </w:pPr>
      <w:r>
        <w:rPr>
          <w:b/>
          <w:i/>
          <w:sz w:val="23"/>
        </w:rPr>
        <w:t>B. Cross-Suite Observations</w:t>
      </w:r>
    </w:p>
    <w:p>
      <w:r>
        <w:rPr>
          <w:b w:val="0"/>
          <w:i w:val="0"/>
        </w:rPr>
        <w:t>Fig. 2 and Fig. 3 visualize reliability and held-out performance across the full</w:t>
        <w:br/>
        <w:t xml:space="preserve">28-model suite, computed directly from the same </w:t>
      </w:r>
      <w:r>
        <w:rPr>
          <w:rFonts w:ascii="Courier New" w:hAnsi="Courier New"/>
          <w:b w:val="0"/>
          <w:i w:val="0"/>
          <w:sz w:val="20"/>
        </w:rPr>
        <w:t>reliability.json</w:t>
      </w:r>
      <w:r>
        <w:rPr>
          <w:b w:val="0"/>
          <w:i w:val="0"/>
        </w:rPr>
        <w:t xml:space="preserve"> and</w:t>
        <w:br/>
      </w:r>
      <w:r>
        <w:rPr>
          <w:rFonts w:ascii="Courier New" w:hAnsi="Courier New"/>
          <w:b w:val="0"/>
          <w:i w:val="0"/>
          <w:sz w:val="20"/>
        </w:rPr>
        <w:t>*_training_summary.json</w:t>
      </w:r>
      <w:r>
        <w:rPr>
          <w:b w:val="0"/>
          <w:i w:val="0"/>
        </w:rPr>
        <w:t xml:space="preserve"> files Table I was transcribed from.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liability_weigh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Fig. 2. Top 10 most reliable models (of 28), sorted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372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oldout_perform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Fig. 3. Held-out validation performance by model type</w:t>
      </w:r>
    </w:p>
    <w:p>
      <w:r>
        <w:rPr>
          <w:b w:val="0"/>
          <w:i w:val="0"/>
        </w:rPr>
        <w:t>Reliability weights range from a configured floor of 0.20 (W14) to 0.879 (W3),</w:t>
        <w:br/>
        <w:t>reflecting the deliberately wide spread between the suite's strongest and weakest</w:t>
        <w:br/>
        <w:t>components; the reliability-estimation script is designed to place these values</w:t>
        <w:br/>
        <w:t>within a 0.15–1.6 multiplier band, and the observed range in the current trained</w:t>
        <w:br/>
        <w:t>suite falls within the lower portion of that band, reflecting that the strongest</w:t>
        <w:br/>
        <w:t>models in this suite are solidly, but not exceptionally, predictive.</w:t>
      </w:r>
    </w:p>
    <w:p>
      <w:r>
        <w:rPr>
          <w:b w:val="0"/>
          <w:i w:val="0"/>
        </w:rPr>
        <w:t>A simple, unweighted comparison across the two sides of the suite shows the</w:t>
        <w:br/>
        <w:t>bowling-side models performing somewhat more strongly, on average, than their</w:t>
        <w:br/>
        <w:t>batting-side counterparts on their respective primary metrics: the eight bowling</w:t>
        <w:br/>
        <w:t>classifiers average an ROC-AUC of approximately 0.689, against approximately 0.639</w:t>
        <w:br/>
        <w:t>for the five batting classifiers with a comparable metric; the four bowling</w:t>
        <w:br/>
        <w:t>regressors with an R² metric average approximately 0.368, against approximately</w:t>
        <w:br/>
        <w:t>0.355 for the six batting regressors. Both comparisons are close enough, and the</w:t>
        <w:br/>
        <w:t>underlying model counts small enough, that this should be read as a mild,</w:t>
        <w:br/>
        <w:t>descriptive tendency rather than a statistically established difference; one</w:t>
        <w:br/>
        <w:t>plausible contributor is that several of the weakest batting-side models target</w:t>
        <w:br/>
        <w:t>fine-grained, high-variance individual-delivery or short-horizon outcomes — the next</w:t>
        <w:br/>
        <w:t>six deliveries' scoring rate, one delivery's exact acceleration in runs, a single</w:t>
        <w:br/>
        <w:t>delivery's dismissal risk against a phase-general feature set — which are</w:t>
        <w:br/>
        <w:t>intrinsically harder to predict from pre-ball context than the spell-level and</w:t>
        <w:br/>
        <w:t>over-level aggregates most bowling-side models target.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XII. Discussion</w:t>
      </w:r>
    </w:p>
    <w:p>
      <w:pPr>
        <w:spacing w:before="200" w:after="60"/>
      </w:pPr>
      <w:r>
        <w:rPr>
          <w:b/>
          <w:i/>
          <w:sz w:val="23"/>
        </w:rPr>
        <w:t>A. What the Dataset Cannot Support</w:t>
      </w:r>
    </w:p>
    <w:p>
      <w:r>
        <w:rPr>
          <w:b w:val="0"/>
          <w:i w:val="0"/>
        </w:rPr>
        <w:t>Three fields absent from the source dataset — bowler type (pace or spin), delivery</w:t>
        <w:br/>
        <w:t>type (for example, yorker, bouncer, or slower ball), and batter handedness —</w:t>
        <w:br/>
        <w:t>constrain what five of the 28 models can measure. A model labelled "Spin Control"</w:t>
        <w:br/>
        <w:t>cannot condition on whether the bowler is actually a spin bowler; it necessarily</w:t>
        <w:br/>
        <w:t>measures dot-ball control in general. A model labelled "Yorker Effectiveness" cannot</w:t>
        <w:br/>
        <w:t>verify that a yorker was actually bowled; it measures general future</w:t>
        <w:br/>
        <w:t>boundary-prevention. A model labelled "L/R Matchup Bias" cannot see a batter's</w:t>
        <w:br/>
        <w:t>handedness and so measures general spell-improvement and wicket-taking bias rather</w:t>
        <w:br/>
        <w:t>than a literal handedness matchup effect. This limitation is disclosed per-model in</w:t>
        <w:br/>
        <w:t>the system's own configuration, not only in this paper, precisely because it bounds</w:t>
        <w:br/>
        <w:t>the claims a user of the system's output should be willing to make; no amount of</w:t>
        <w:br/>
        <w:t>additional model tuning corrects for information that was never recorded in the</w:t>
        <w:br/>
        <w:t>source data.</w:t>
      </w:r>
    </w:p>
    <w:p>
      <w:pPr>
        <w:spacing w:before="200" w:after="60"/>
      </w:pPr>
      <w:r>
        <w:rPr>
          <w:b/>
          <w:i/>
          <w:sz w:val="23"/>
        </w:rPr>
        <w:t>B. Honest Reporting of Weak Models</w:t>
      </w:r>
    </w:p>
    <w:p>
      <w:r>
        <w:rPr>
          <w:b w:val="0"/>
          <w:i w:val="0"/>
        </w:rPr>
        <w:t>Seven of the 28 models perform only marginally better — or, in one case, worse —</w:t>
        <w:br/>
        <w:t>than a naive baseline. This is reported directly rather than omitted: the</w:t>
        <w:br/>
        <w:t>reliability-weighting mechanism (Section VII-C) is designed to consume exactly this</w:t>
        <w:br/>
        <w:t>information, automatically down-weighting a weak model relative to stronger ones so</w:t>
        <w:br/>
        <w:t>its presence does not proportionally distort the aggregated recommendation the way</w:t>
        <w:br/>
        <w:t>an unweighted ensemble member would; and presenting only favourable metrics would</w:t>
        <w:br/>
        <w:t>misrepresent both the current state of the system and the genuine difficulty of</w:t>
        <w:br/>
        <w:t>several of the underlying prediction problems. Fig. 7 makes this concrete by</w:t>
        <w:br/>
        <w:t>plotting W14 — the suite's weakest model (R² = −0.124) — on the same</w:t>
        <w:br/>
        <w:t>predicted-versus-actual axes as the strong W1 example in Fig. 5: where Fig. 5's</w:t>
        <w:br/>
        <w:t>points cluster tightly along the diagonal, Fig. 7's are visibly scattered around a</w:t>
        <w:br/>
        <w:t>near-flat band, the visual signature of a model whose predictions carry little</w:t>
        <w:br/>
        <w:t>relationship to the outcome being predicted.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9926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w14_predicted_vs_actu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Fig. 7. W14 (Economy Trend Analysis): predicted vs. actual future economy on held-out test matches — the suite's weakest model, shown for direct visual contrast with Fig. 5</w:t>
      </w:r>
    </w:p>
    <w:p>
      <w:r>
        <w:rPr>
          <w:b w:val="0"/>
          <w:i w:val="0"/>
        </w:rPr>
        <w:t>A sharper case than W14's low R² is B9 (Spin Vulnerability), whose ROC-AUC of 0.602</w:t>
        <w:br/>
        <w:t>reads as merely mediocre on its own but conceals a more specific failure: at the</w:t>
        <w:br/>
        <w:t>standard 0.5 decision threshold, B9's precision is 0.076 against a recall of 0.437.</w:t>
        <w:br/>
        <w:t>That is, of every delivery B9 flags as a dismissal-risk event, roughly 92.4% are</w:t>
        <w:br/>
        <w:t>false positives — under the severe class imbalance of a rare, phase-general wicket</w:t>
        <w:br/>
        <w:t>target, the model has learned to fire often rather than fire correctly, and a</w:t>
        <w:br/>
        <w:t>moderate ROC-AUC is compatible with this because ROC-AUC integrates performance</w:t>
        <w:br/>
        <w:t>across all thresholds, including ones a live system would never actually use. This</w:t>
        <w:br/>
        <w:t>is why the reliability-weighting mechanism is derived from the disclosed metric</w:t>
        <w:br/>
        <w:t>directly rather than from a qualitative "acceptable/unacceptable" label a reader</w:t>
        <w:br/>
        <w:t>might otherwise be tempted to assign from ROC-AUC alone.</w:t>
      </w:r>
    </w:p>
    <w:p>
      <w:pPr>
        <w:spacing w:before="200" w:after="60"/>
      </w:pPr>
      <w:r>
        <w:rPr>
          <w:b/>
          <w:i/>
          <w:sz w:val="23"/>
        </w:rPr>
        <w:t>C. Design Trade-offs in the Aggregation Mechanism</w:t>
      </w:r>
    </w:p>
    <w:p>
      <w:r>
        <w:rPr>
          <w:b w:val="0"/>
          <w:i w:val="0"/>
        </w:rPr>
        <w:t>The decision engine's normalization, weighting, and aggregation logic (Section</w:t>
        <w:br/>
        <w:t>VII-B–D) was designed around explainability at least as much as around predictive</w:t>
        <w:br/>
        <w:t>optimality — the specific reason the system's original two-tier design (Section</w:t>
        <w:br/>
        <w:t>VI-A) was not realized as specified. A trained Tier 2 — the design documentation's</w:t>
        <w:br/>
        <w:t>"Master Batting Coach" and "Master Bowling Coach," a stacked ensemble in the sense of</w:t>
        <w:br/>
        <w:t>Wolpert [14] fit on Tier 1's own predictions — might outperform the current</w:t>
        <w:br/>
        <w:t>hand-specified normalization and phase-relevance scheme on some aggregate metric,</w:t>
        <w:br/>
        <w:t>but the substitution actually made was chosen specifically to avoid what that</w:t>
        <w:br/>
        <w:t>meta-learner would cost: the current audit trail (Section VII-D) can attribute the</w:t>
        <w:br/>
      </w:r>
      <w:r>
        <w:rPr>
          <w:b w:val="0"/>
          <w:i/>
        </w:rPr>
        <w:t>n</w:t>
      </w:r>
      <w:r>
        <w:rPr>
          <w:b w:val="0"/>
          <w:i w:val="0"/>
        </w:rPr>
        <w:t>-th ranked action's score to specific, named contributing models with disclosed</w:t>
        <w:br/>
        <w:t>weights; a trained Tier 2 would instead attribute it to whatever the meta-learner's</w:t>
        <w:br/>
        <w:t>own internal weights happened to converge to during fitting, not guaranteed to</w:t>
        <w:br/>
        <w:t>correspond to anything a coach could interrogate model-by-model. This was judged</w:t>
        <w:br/>
        <w:t>more valuable for a decision-support tool intended to sit alongside human tactical</w:t>
        <w:br/>
        <w:t>judgement than a further increment of aggregate accuracy would be, and Section XV</w:t>
        <w:br/>
        <w:t>identifies a learned aggregation layer as a candidate direction for future work</w:t>
        <w:br/>
        <w:t>precisely because it was not adopted here.</w:t>
      </w:r>
    </w:p>
    <w:p>
      <w:pPr>
        <w:spacing w:before="200" w:after="60"/>
      </w:pPr>
      <w:r>
        <w:rPr>
          <w:b/>
          <w:i/>
          <w:sz w:val="23"/>
        </w:rPr>
        <w:t>D. Scope Limitations</w:t>
      </w:r>
    </w:p>
    <w:p>
      <w:r>
        <w:rPr>
          <w:b w:val="0"/>
          <w:i w:val="0"/>
        </w:rPr>
        <w:t>The evaluation in this paper is confined to offline, held-out validation on</w:t>
        <w:br/>
        <w:t>historical match data from a single professional T20 franchise league; the system</w:t>
        <w:br/>
        <w:t>has not yet been evaluated through a live user study with coaching staff, nor</w:t>
        <w:br/>
        <w:t>validated against ground-truth tactical outcomes (whether a recommended action, had</w:t>
        <w:br/>
        <w:t>it been followed, would have produced a better result than the alternative). Model</w:t>
        <w:br/>
        <w:t>hyperparameters were set by domain-informed choice rather than an automated search,</w:t>
        <w:br/>
        <w:t>which Section XV identifies as a direction for improving several of the</w:t>
        <w:br/>
        <w:t>weaker-performing models. The dataset is drawn from a single T20 competition;</w:t>
        <w:br/>
        <w:t>generalization to other T20 leagues, playing conditions, or the international game</w:t>
        <w:br/>
        <w:t>has not been tested, and the reported metrics should be read as characterizing the</w:t>
        <w:br/>
        <w:t>system's performance within that one competition rather than across T20 cricket as</w:t>
        <w:br/>
        <w:t>a whole.</w:t>
      </w:r>
    </w:p>
    <w:p>
      <w:pPr>
        <w:spacing w:before="200" w:after="60"/>
      </w:pPr>
      <w:r>
        <w:rPr>
          <w:b/>
          <w:i/>
          <w:sz w:val="23"/>
        </w:rPr>
        <w:t>E. Interpretability as a Design Goal</w:t>
      </w:r>
    </w:p>
    <w:p>
      <w:r>
        <w:rPr>
          <w:b w:val="0"/>
          <w:i w:val="0"/>
        </w:rPr>
        <w:t>Several of the design choices described in Sections VI and VII are best understood</w:t>
        <w:br/>
        <w:t>as explainability mechanisms rather than purely predictive ones. The reliability</w:t>
        <w:br/>
        <w:t>weight attached to every model (Table I) is not only a performance-scaling device</w:t>
        <w:br/>
        <w:t>but a disclosure device: it makes visible, at the point of decision, exactly how</w:t>
        <w:br/>
        <w:t>much the system is choosing to trust each contributing signal, rather than</w:t>
        <w:br/>
        <w:t>presenting 28 model outputs as equally authoritative. The audit trail produced by</w:t>
        <w:br/>
        <w:t>the RuleValidator retains the score and blocked/unblocked status of every ranked</w:t>
        <w:br/>
        <w:t>action, not only the winner, so that a coach questioning why a particular option was</w:t>
        <w:br/>
        <w:t>not chosen — including options that scored higher than the recommended one but were</w:t>
        <w:br/>
        <w:t>tactically disqualified — can be shown the specific rule responsible rather than</w:t>
        <w:br/>
        <w:t>told to trust the system's output. The coverage caveat appended by the</w:t>
        <w:br/>
        <w:t>TextGenerator when fewer than 60% of a role's models fired is a direct,</w:t>
        <w:br/>
        <w:t>human-readable statement of the recommendation's evidentiary basis in that specific</w:t>
        <w:br/>
        <w:t>context, rather than a fixed, context-independent confidence claim. This is a</w:t>
        <w:br/>
        <w:t>deliberately different, and complementary, notion of explainability from</w:t>
        <w:br/>
        <w:t>feature-attribution techniques such as SHAP [18] or LIME [19] (Section II-F): those</w:t>
        <w:br/>
        <w:t xml:space="preserve">methods explain </w:t>
      </w:r>
      <w:r>
        <w:rPr>
          <w:b w:val="0"/>
          <w:i/>
        </w:rPr>
        <w:t>why one model</w:t>
      </w:r>
      <w:r>
        <w:rPr>
          <w:b w:val="0"/>
          <w:i w:val="0"/>
        </w:rPr>
        <w:t xml:space="preserve"> produced a given output in terms of its input</w:t>
        <w:br/>
        <w:t xml:space="preserve">features, whereas the mechanisms above explain </w:t>
      </w:r>
      <w:r>
        <w:rPr>
          <w:b w:val="0"/>
          <w:i/>
        </w:rPr>
        <w:t>why the system as a whole</w:t>
      </w:r>
      <w:r>
        <w:rPr>
          <w:b w:val="0"/>
          <w:i w:val="0"/>
        </w:rPr>
        <w:t xml:space="preserve"> produced</w:t>
        <w:br/>
        <w:t>a given recommendation in terms of which models contributed, how much, and how</w:t>
        <w:br/>
        <w:t>reliable each was known to be.</w:t>
      </w:r>
    </w:p>
    <w:p>
      <w:pPr>
        <w:spacing w:before="200" w:after="60"/>
      </w:pPr>
      <w:r>
        <w:rPr>
          <w:b/>
          <w:i/>
          <w:sz w:val="23"/>
        </w:rPr>
        <w:t>F. Ethical and Deployment Considerations</w:t>
      </w:r>
    </w:p>
    <w:p>
      <w:r>
        <w:rPr>
          <w:b w:val="0"/>
          <w:i w:val="0"/>
        </w:rPr>
        <w:t>Because TOP is explicitly framed as a decision-</w:t>
      </w:r>
      <w:r>
        <w:rPr>
          <w:b w:val="0"/>
          <w:i/>
        </w:rPr>
        <w:t>support</w:t>
      </w:r>
      <w:r>
        <w:rPr>
          <w:b w:val="0"/>
          <w:i w:val="0"/>
        </w:rPr>
        <w:t xml:space="preserve"> tool rather than a</w:t>
        <w:br/>
        <w:t>decision-</w:t>
      </w:r>
      <w:r>
        <w:rPr>
          <w:b w:val="0"/>
          <w:i/>
        </w:rPr>
        <w:t>making</w:t>
      </w:r>
      <w:r>
        <w:rPr>
          <w:b w:val="0"/>
          <w:i w:val="0"/>
        </w:rPr>
        <w:t xml:space="preserve"> one, its design deliberately preserves a human in the loop at</w:t>
        <w:br/>
        <w:t>every stage: the RuleValidator can only demote a statistically favoured action, not</w:t>
        <w:br/>
        <w:t>promote one the model outputs did not support, and every generated recommendation is</w:t>
        <w:br/>
        <w:t>presented alongside its full ranked alternatives and audit trail specifically so</w:t>
        <w:br/>
        <w:t>that a coach retains the information needed to disagree with it. Two risks</w:t>
        <w:br/>
        <w:t>nonetheless warrant explicit acknowledgement. The first is automation bias: a</w:t>
        <w:br/>
        <w:t>coaching staff under the same time pressure the system is designed to relieve may be</w:t>
        <w:br/>
        <w:t>inclined to accept a ranked, confidently-presented recommendation without engaging</w:t>
        <w:br/>
        <w:t>with the coverage caveat or audit trail that qualifies it, particularly for the</w:t>
        <w:br/>
        <w:t>seven models identified in Section XI as weak; the coverage-caveat mechanism is a</w:t>
        <w:br/>
        <w:t>partial mitigation, but a live user study (Section XV) is the only way to establish</w:t>
        <w:br/>
        <w:t>whether it is sufficient in practice. The second is that the underlying dataset is</w:t>
        <w:br/>
        <w:t>built from identifiable, named professional cricketers' publicly recorded on-field</w:t>
        <w:br/>
        <w:t>performance; no personally sensitive information beyond public match records is</w:t>
        <w:br/>
        <w:t>used, and the system's outputs are tactical (an action to take) rather than</w:t>
        <w:br/>
        <w:t>evaluative (a judgement about a specific named player's ability or worth), which</w:t>
        <w:br/>
        <w:t>meaningfully narrows its potential for individual-level misuse relative to, for</w:t>
        <w:br/>
        <w:t>example, a player-valuation or scouting system — but any future extension toward</w:t>
        <w:br/>
        <w:t>player-specific profiling rather than situational tactical recommendation would</w:t>
        <w:br/>
        <w:t>warrant a fresh review of this framing.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XIII. Comparison with Existing Methods</w:t>
      </w:r>
    </w:p>
    <w:p>
      <w:r>
        <w:rPr>
          <w:b w:val="0"/>
          <w:i w:val="0"/>
        </w:rPr>
        <w:t>Table III positions TOP qualitatively against the closest categories of prior work</w:t>
        <w:br/>
        <w:t>identified in Section II, along the dimensions most relevant to its design goals:</w:t>
        <w:br/>
        <w:t>temporal scope, decision granularity, combination transparency, and leakage</w:t>
        <w:br/>
        <w:t>disclosure.</w:t>
      </w:r>
    </w:p>
    <w:p>
      <w:r>
        <w:rPr>
          <w:b/>
          <w:i w:val="0"/>
        </w:rPr>
        <w:t>Table III. Qualitative comparison with the closest prior approaches.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Approach category</w:t>
            </w:r>
          </w:p>
        </w:tc>
        <w:tc>
          <w:tcPr>
            <w:tcW w:type="dxa" w:w="1625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Representative work</w:t>
            </w:r>
          </w:p>
        </w:tc>
        <w:tc>
          <w:tcPr>
            <w:tcW w:type="dxa" w:w="1625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Temporal scope</w:t>
            </w:r>
          </w:p>
        </w:tc>
        <w:tc>
          <w:tcPr>
            <w:tcW w:type="dxa" w:w="1625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Decision output</w:t>
            </w:r>
          </w:p>
        </w:tc>
        <w:tc>
          <w:tcPr>
            <w:tcW w:type="dxa" w:w="1625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Weighting transparency</w:t>
            </w:r>
          </w:p>
        </w:tc>
        <w:tc>
          <w:tcPr>
            <w:tcW w:type="dxa" w:w="1625"/>
            <w:shd w:val="clear" w:fill="E8E8E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Leakage audit disclosed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Pre-match / outcome prediction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T20 franchise-league win-prediction studies [2], [3]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Pre-match or coarse in-match snapshot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Single scalar (win probability / outcome class)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N/A (typically single-model)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Rarely reported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In-play win probability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Dynamic in-play ODI model [4]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Continuous, in-match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Single scalar (win probability)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N/A (single model)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applicable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Single-situation tactical AI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TacticAI (football corner kicks) [7]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In-match, single set-piece type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Ranked tactical suggestions for one situation type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Internal to one learned model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reported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Substitution-timing ML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Football substitution prediction [12]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In-match, one decision type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Binary/ranked substitution recommendation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N/A (single or small model set)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reported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Generic multi-sport CI/DSS surveys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Computational-intelligence DSS reviews [6]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Varies by surveyed system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Varies by surveyed system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Rarely standardized across surveyed systems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Rarely reported</w:t>
            </w:r>
          </w:p>
        </w:tc>
      </w:tr>
      <w:tr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TOP (this work)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In-match, every strategic time-out across an innings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Ranked multi-action recommendation with full audit trail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Reliability weight traceable to each model's own disclosed validation metric</w:t>
            </w:r>
          </w:p>
        </w:tc>
        <w:tc>
          <w:tcPr>
            <w:tcW w:type="dxa" w:w="1625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Full model-by-model audit reported (Section IX-A)</w:t>
            </w:r>
          </w:p>
        </w:tc>
      </w:tr>
    </w:tbl>
    <w:p>
      <w:pPr>
        <w:spacing w:after="160"/>
      </w:pPr>
    </w:p>
    <w:p>
      <w:r>
        <w:rPr>
          <w:b w:val="0"/>
          <w:i w:val="0"/>
        </w:rPr>
        <w:t>Three points follow from this comparison. First, TOP's temporal scope — a</w:t>
        <w:br/>
        <w:t>recommendation refreshed at every strategic time-out across an entire innings,</w:t>
        <w:br/>
        <w:t>rather than a single pre-match estimate or a one-off situational suggestion — is</w:t>
        <w:br/>
        <w:t>closer to the in-play win-probability tradition [4] than to the pre-match prediction</w:t>
        <w:br/>
        <w:t>literature that otherwise dominates cricket analytics [2]–[3], but TOP departs from</w:t>
        <w:br/>
        <w:t>that in-play tradition by outputting a ranked set of concrete tactical actions</w:t>
        <w:br/>
        <w:t>rather than a single probability. Second, among systems that do output a concrete</w:t>
        <w:br/>
        <w:t>tactical suggestion, TacticAI [7] is the closest architectural precedent in</w:t>
        <w:br/>
        <w:t>ambition, but it addresses a single, narrowly bounded tactical situation (a corner</w:t>
        <w:br/>
        <w:t>kick) with one learned model, whereas TOP addresses a continuously evolving</w:t>
        <w:br/>
        <w:t>innings-wide decision using 28 independently trained, narrowly scoped models</w:t>
        <w:br/>
        <w:t>combined through an explicit, disclosed weighting mechanism; the two systems are</w:t>
        <w:br/>
        <w:t>best read as complementary points in the design space (single-situation deep</w:t>
        <w:br/>
        <w:t>learning versus many-model, reliability-weighted aggregation) rather than as</w:t>
        <w:br/>
        <w:t>directly competing solutions to the same problem. Third, none of the compared</w:t>
        <w:br/>
        <w:t>approaches report a systematic, model-by-model leakage and split-methodology audit</w:t>
        <w:br/>
        <w:t>alongside their headline metrics in the way Section IX-A of this paper does; this is</w:t>
        <w:br/>
        <w:t>offered as a methodological contribution independent of any single model's raw</w:t>
        <w:br/>
        <w:t>predictive performance — a template other applied, multi-model sports-analytics</w:t>
        <w:br/>
        <w:t>systems could adopt regardless of the specific sport or tactical decision they</w:t>
        <w:br/>
        <w:t>target.</w:t>
      </w:r>
    </w:p>
    <w:p>
      <w:r>
        <w:rPr>
          <w:b w:val="0"/>
          <w:i w:val="0"/>
        </w:rPr>
        <w:t>A direct, head-to-head quantitative comparison against TacticAI or the in-play</w:t>
        <w:br/>
        <w:t>win-probability literature was not attempted in this work, for a reason more</w:t>
        <w:br/>
        <w:t>specific than "no benchmark exists." TacticAI's reported evaluation is a</w:t>
        <w:br/>
        <w:t>forced-choice preference judgement by professional coaches, a protocol measuring</w:t>
        <w:br/>
        <w:t>plausibility rather than any ground-truth label TOP's ranked actions could be scored</w:t>
        <w:br/>
        <w:t>against; the in-play win-probability model of [4] outputs a single continuous</w:t>
        <w:br/>
        <w:t>probability calibrated against completed-match outcomes, a different prediction</w:t>
        <w:br/>
        <w:t>target than a discrete tactical action; and no publicly available dataset pairs T20</w:t>
        <w:br/>
        <w:t>strategic-timeout moments with an agreed-upon correct tactical response at all, so</w:t>
        <w:br/>
        <w:t>even a same-metric comparison would have no shared test set to run on. This is</w:t>
        <w:br/>
        <w:t>itself a direct consequence of the research gap identified in Section III, and is</w:t>
        <w:br/>
        <w:t>noted here rather than papered over with a metric-for-metric comparison that would</w:t>
        <w:br/>
        <w:t>be technically computable but not actually meaningful.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XIV. Conclusion</w:t>
      </w:r>
    </w:p>
    <w:p>
      <w:r>
        <w:rPr>
          <w:b w:val="0"/>
          <w:i w:val="0"/>
        </w:rPr>
        <w:t>This paper presented TOP, a real-time decision-support system that aggregates 28</w:t>
        <w:br/>
        <w:t>independently trained, narrowly scoped machine learning models into a single,</w:t>
        <w:br/>
        <w:t>ranked, and auditable tactical recommendation for T20 cricket coaching staff during</w:t>
        <w:br/>
        <w:t>strategic time-outs. The system's central contribution is methodological as much as</w:t>
        <w:br/>
        <w:t>architectural: every model is trained and evaluated with a consistent, leakage-safe,</w:t>
        <w:br/>
        <w:t>match-level splitting methodology; a systematic audit identified and corrected</w:t>
        <w:br/>
        <w:t>target leakage in four models, absent or row-level splitting in six others, test-set</w:t>
        <w:br/>
        <w:t>contamination in a lookup-table component, a structurally degenerate forecasting</w:t>
        <w:br/>
        <w:t>model, and two unintentionally duplicated models, with before/after metrics reported</w:t>
        <w:br/>
        <w:t>for each; and the resulting model suite — including its several genuinely weak</w:t>
        <w:br/>
        <w:t>components — is combined through a reliability-weighting mechanism derived directly</w:t>
        <w:br/>
        <w:t>from each model's own disclosed validation performance, rather than a flat or</w:t>
        <w:br/>
        <w:t>hand-tuned trust assumption. A working FastAPI backend and React-based live console</w:t>
        <w:br/>
        <w:t>demonstrate the framework end to end on a real ball-by-ball scorecard workflow,</w:t>
        <w:br/>
        <w:t>exercised in this paper against realistic batting- and bowling-timeout scenarios</w:t>
        <w:br/>
        <w:t>(Section VII-F). The system is offered as a decision-support tool intended to</w:t>
        <w:br/>
        <w:t>surface and rank tactical options transparently, not to replace the judgement of a</w:t>
        <w:br/>
        <w:t>coach or captain, and its honestly reported limitations — dataset fields it does not</w:t>
        <w:br/>
        <w:t>have access to, models whose predictive power is currently weak, a single-league</w:t>
        <w:br/>
        <w:t>training dataset, and evaluation that remains offline rather than validated through</w:t>
        <w:br/>
        <w:t>live use — are intended to scope what a user of this system's output should, and</w:t>
        <w:br/>
        <w:t>should not, conclude from it.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XV. Future Work</w:t>
      </w:r>
    </w:p>
    <w:p>
      <w:r>
        <w:rPr>
          <w:b w:val="0"/>
          <w:i w:val="0"/>
        </w:rPr>
        <w:t>Several directions follow directly from the limitations identified in Section XII.</w:t>
        <w:br/>
        <w:t>Extending the source dataset with delivery-type, bowler-type, and batter-handedness</w:t>
        <w:br/>
        <w:t>fields would allow the five affected models (Section XII-A) to measure the specific</w:t>
        <w:br/>
        <w:t>tactical distinctions their labels currently only approximate. A systematic</w:t>
        <w:br/>
        <w:t>hyperparameter search, rather than the domain-informed fixed configurations used in</w:t>
        <w:br/>
        <w:t>this iteration, is a direct avenue for improving the several models identified as</w:t>
        <w:br/>
        <w:t>weak in Section XI. The most direct such avenue is completing the system's original</w:t>
        <w:br/>
        <w:t>two-tier design (Section VI-A): training the specified Tier 2 "Master Batting Coach"</w:t>
        <w:br/>
        <w:t>and "Master Bowling Coach" — a calibrated meta-learner per role, fit on Tier 1's own</w:t>
        <w:br/>
        <w:t>predictions against realized match outcomes, in the spirit of Wolpert's stacked</w:t>
        <w:br/>
        <w:t>generalization [14]. Realizing this tier would need to be evaluated on three axes at</w:t>
        <w:br/>
        <w:t>once: aggregate accuracy against the current rule-based aggregator; the</w:t>
        <w:br/>
        <w:t>interpretability cost discussed in Section XII-C, since a second trained model</w:t>
        <w:br/>
        <w:t>reintroduces exactly the opacity the current design was chosen to avoid; and the</w:t>
        <w:br/>
        <w:t>live-inference latency budget the design documentation targets for this tier</w:t>
        <w:br/>
        <w:t>(sub-second per recommendation), which the current deterministic aggregator</w:t>
        <w:br/>
        <w:t>satisfies trivially but a second model pass is not guaranteed to. Applying</w:t>
        <w:br/>
        <w:t>feature-attribution techniques such as SHAP [18] or LIME [19] to the individual W-</w:t>
        <w:br/>
        <w:t>and B-models, as flagged in Section XII-E, would add a second, complementary layer</w:t>
        <w:br/>
        <w:t>of explainability beneath the decision engine's existing model-level audit trail.</w:t>
        <w:br/>
        <w:t>Beyond offline validation, a live evaluation with coaching staff — comparing</w:t>
        <w:br/>
        <w:t>recommendations accepted, overridden, or ignored against subsequent match outcomes —</w:t>
        <w:br/>
        <w:t>would test the system's practical value in a way the current held-out metrics</w:t>
        <w:br/>
        <w:t>cannot, and would also produce the first dataset suitable for a genuinely</w:t>
        <w:br/>
        <w:t>cricket-specific study of strategic-timeout effectiveness, closing the literature</w:t>
        <w:br/>
        <w:t>gap identified in Section II-C. Finally, extending the training dataset beyond a</w:t>
        <w:br/>
        <w:t>single professional T20 franchise league to other T20 leagues and to international</w:t>
        <w:br/>
        <w:t>T20 cricket would test, and likely improve, the generalization of the underlying</w:t>
        <w:br/>
        <w:t>models beyond the conditions of one competition.</w:t>
      </w:r>
    </w:p>
    <w:p>
      <w:pPr>
        <w:spacing w:before="280" w:after="80"/>
        <w:pBdr>
          <w:bottom w:val="single" w:sz="4" w:space="2" w:color="999999"/>
        </w:pBdr>
      </w:pPr>
      <w:r>
        <w:rPr>
          <w:b/>
          <w:sz w:val="26"/>
        </w:rPr>
        <w:t>References</w:t>
      </w:r>
    </w:p>
    <w:p>
      <w:r>
        <w:rPr>
          <w:b w:val="0"/>
          <w:i w:val="0"/>
        </w:rPr>
        <w:t xml:space="preserve">[1] I. Wickramasinghe, "Applications of machine learning in cricket: A systematic review," </w:t>
      </w:r>
      <w:r>
        <w:rPr>
          <w:b w:val="0"/>
          <w:i/>
        </w:rPr>
        <w:t>Machine Learning with Applications</w:t>
      </w:r>
      <w:r>
        <w:rPr>
          <w:b w:val="0"/>
          <w:i w:val="0"/>
        </w:rPr>
        <w:t>, vol. 10, p. 100435, 2022.</w:t>
      </w:r>
    </w:p>
    <w:p>
      <w:r>
        <w:rPr>
          <w:b w:val="0"/>
          <w:i w:val="0"/>
        </w:rPr>
        <w:t xml:space="preserve">[2] S. Priya et al., "Analysis and winning prediction in T20 cricket using machine learning," in </w:t>
      </w:r>
      <w:r>
        <w:rPr>
          <w:b w:val="0"/>
          <w:i/>
        </w:rPr>
        <w:t>Proc. IEEE Conf.</w:t>
      </w:r>
      <w:r>
        <w:rPr>
          <w:b w:val="0"/>
          <w:i w:val="0"/>
        </w:rPr>
        <w:t>, 2022.</w:t>
      </w:r>
    </w:p>
    <w:p>
      <w:r>
        <w:rPr>
          <w:b w:val="0"/>
          <w:i w:val="0"/>
        </w:rPr>
        <w:t xml:space="preserve">[3] S. Chakraborty, A. Mondal, A. Bhattacharjee, A. Mallick, R. Santra, S. Maity, and L. Dey, "Cricket data analytics: Forecasting T20 match winners through machine learning," </w:t>
      </w:r>
      <w:r>
        <w:rPr>
          <w:b w:val="0"/>
          <w:i/>
        </w:rPr>
        <w:t>Int. J. Knowledge-Based Intell. Eng. Syst.</w:t>
      </w:r>
      <w:r>
        <w:rPr>
          <w:b w:val="0"/>
          <w:i w:val="0"/>
        </w:rPr>
        <w:t>, vol. 28, no. 1, 2024.</w:t>
      </w:r>
    </w:p>
    <w:p>
      <w:r>
        <w:rPr>
          <w:b w:val="0"/>
          <w:i w:val="0"/>
        </w:rPr>
        <w:t xml:space="preserve">[4] M. Asif and I. G. McHale, "In-play forecasting of win probability in One-Day International cricket: A dynamic logistic regression model," </w:t>
      </w:r>
      <w:r>
        <w:rPr>
          <w:b w:val="0"/>
          <w:i/>
        </w:rPr>
        <w:t>Int. J. Forecasting</w:t>
      </w:r>
      <w:r>
        <w:rPr>
          <w:b w:val="0"/>
          <w:i w:val="0"/>
        </w:rPr>
        <w:t>, vol. 32, no. 1, pp. 34–43, 2016.</w:t>
      </w:r>
    </w:p>
    <w:p>
      <w:r>
        <w:rPr>
          <w:b w:val="0"/>
          <w:i w:val="0"/>
        </w:rPr>
        <w:t xml:space="preserve">[5] R. A. Lokhande, R. N. Awale, and R. R. Ingle, "Forecasting bowler performance in One-Day International cricket using machine learning," </w:t>
      </w:r>
      <w:r>
        <w:rPr>
          <w:b w:val="0"/>
          <w:i/>
        </w:rPr>
        <w:t>Expert Syst. Appl.</w:t>
      </w:r>
      <w:r>
        <w:rPr>
          <w:b w:val="0"/>
          <w:i w:val="0"/>
        </w:rPr>
        <w:t>, 2025.</w:t>
      </w:r>
    </w:p>
    <w:p>
      <w:r>
        <w:rPr>
          <w:b w:val="0"/>
          <w:i w:val="0"/>
        </w:rPr>
        <w:t xml:space="preserve">[6] R. P. Bonidia et al., "Computational intelligence in sports: A systematic literature review," </w:t>
      </w:r>
      <w:r>
        <w:rPr>
          <w:b w:val="0"/>
          <w:i/>
        </w:rPr>
        <w:t>arXiv:1810.12850</w:t>
      </w:r>
      <w:r>
        <w:rPr>
          <w:b w:val="0"/>
          <w:i w:val="0"/>
        </w:rPr>
        <w:t>, 2018.</w:t>
      </w:r>
    </w:p>
    <w:p>
      <w:r>
        <w:rPr>
          <w:b w:val="0"/>
          <w:i w:val="0"/>
        </w:rPr>
        <w:t xml:space="preserve">[7] Z. Wang, P. Veličković, D. Hennes, N. Tomašev, et al., "TacticAI: an AI assistant for football tactics," </w:t>
      </w:r>
      <w:r>
        <w:rPr>
          <w:b w:val="0"/>
          <w:i/>
        </w:rPr>
        <w:t>Nature Communications</w:t>
      </w:r>
      <w:r>
        <w:rPr>
          <w:b w:val="0"/>
          <w:i w:val="0"/>
        </w:rPr>
        <w:t>, vol. 15, p. 1906, 2024.</w:t>
      </w:r>
    </w:p>
    <w:p>
      <w:r>
        <w:rPr>
          <w:b w:val="0"/>
          <w:i w:val="0"/>
        </w:rPr>
        <w:t xml:space="preserve">[8] S. Kranzinger, C. Halmich, and D. Hofer, "A scoping review of explainable artificial intelligence in sports science," </w:t>
      </w:r>
      <w:r>
        <w:rPr>
          <w:b w:val="0"/>
          <w:i/>
        </w:rPr>
        <w:t>Discover Artificial Intelligence</w:t>
      </w:r>
      <w:r>
        <w:rPr>
          <w:b w:val="0"/>
          <w:i w:val="0"/>
        </w:rPr>
        <w:t>, 2025.</w:t>
      </w:r>
    </w:p>
    <w:p>
      <w:r>
        <w:rPr>
          <w:b w:val="0"/>
          <w:i w:val="0"/>
        </w:rPr>
        <w:t xml:space="preserve">[9] M. Qiu, K. Zhang, Y. Chao, and M. Zhang, "Interrupt or reinforce? The impact of timeout on momentum in basketball game," </w:t>
      </w:r>
      <w:r>
        <w:rPr>
          <w:b w:val="0"/>
          <w:i/>
        </w:rPr>
        <w:t>Frontiers in Psychology</w:t>
      </w:r>
      <w:r>
        <w:rPr>
          <w:b w:val="0"/>
          <w:i w:val="0"/>
        </w:rPr>
        <w:t>, vol. 16, p. 1673186, 2025.</w:t>
      </w:r>
    </w:p>
    <w:p>
      <w:r>
        <w:rPr>
          <w:b w:val="0"/>
          <w:i w:val="0"/>
        </w:rPr>
        <w:t xml:space="preserve">[10] J. Prieto et al., "Effects of team timeouts on the teams' scoring performance in elite handball close games," </w:t>
      </w:r>
      <w:r>
        <w:rPr>
          <w:b w:val="0"/>
          <w:i/>
        </w:rPr>
        <w:t>Kinesiology</w:t>
      </w:r>
      <w:r>
        <w:rPr>
          <w:b w:val="0"/>
          <w:i w:val="0"/>
        </w:rPr>
        <w:t>, vol. 48, no. 1, pp. 115–123, 2016.</w:t>
      </w:r>
    </w:p>
    <w:p>
      <w:r>
        <w:rPr>
          <w:b w:val="0"/>
          <w:i w:val="0"/>
        </w:rPr>
        <w:t xml:space="preserve">[11] C. Fernández-Echeverría, J. González-Silva, I. T. Castro, and M. P. Moreno, "The timeout in sports: A study of its effect on volleyball," </w:t>
      </w:r>
      <w:r>
        <w:rPr>
          <w:b w:val="0"/>
          <w:i/>
        </w:rPr>
        <w:t>Frontiers in Psychology</w:t>
      </w:r>
      <w:r>
        <w:rPr>
          <w:b w:val="0"/>
          <w:i w:val="0"/>
        </w:rPr>
        <w:t>, 2019.</w:t>
      </w:r>
    </w:p>
    <w:p>
      <w:r>
        <w:rPr>
          <w:b w:val="0"/>
          <w:i w:val="0"/>
        </w:rPr>
        <w:t xml:space="preserve">[12] A. Mohandas, M. Ahsan, and J. Haider, "Tactically maximize game advantage by predicting football substitutions using machine learning," </w:t>
      </w:r>
      <w:r>
        <w:rPr>
          <w:b w:val="0"/>
          <w:i/>
        </w:rPr>
        <w:t>Big Data and Cognitive Computing</w:t>
      </w:r>
      <w:r>
        <w:rPr>
          <w:b w:val="0"/>
          <w:i w:val="0"/>
        </w:rPr>
        <w:t>, vol. 7, no. 2, p. 117, 2023.</w:t>
      </w:r>
    </w:p>
    <w:p>
      <w:r>
        <w:rPr>
          <w:b w:val="0"/>
          <w:i w:val="0"/>
        </w:rPr>
        <w:t xml:space="preserve">[13] T. G. Dietterich, "Ensemble methods in machine learning," in </w:t>
      </w:r>
      <w:r>
        <w:rPr>
          <w:b w:val="0"/>
          <w:i/>
        </w:rPr>
        <w:t>Multiple Classifier Systems (MCS 2000)</w:t>
      </w:r>
      <w:r>
        <w:rPr>
          <w:b w:val="0"/>
          <w:i w:val="0"/>
        </w:rPr>
        <w:t>, LNCS vol. 1857, Springer, 2000, pp. 1–15.</w:t>
      </w:r>
    </w:p>
    <w:p>
      <w:r>
        <w:rPr>
          <w:b w:val="0"/>
          <w:i w:val="0"/>
        </w:rPr>
        <w:t xml:space="preserve">[14] D. H. Wolpert, "Stacked generalization," </w:t>
      </w:r>
      <w:r>
        <w:rPr>
          <w:b w:val="0"/>
          <w:i/>
        </w:rPr>
        <w:t>Neural Networks</w:t>
      </w:r>
      <w:r>
        <w:rPr>
          <w:b w:val="0"/>
          <w:i w:val="0"/>
        </w:rPr>
        <w:t>, vol. 5, no. 2, pp. 241–259, 1992.</w:t>
      </w:r>
    </w:p>
    <w:p>
      <w:r>
        <w:rPr>
          <w:b w:val="0"/>
          <w:i w:val="0"/>
        </w:rPr>
        <w:t xml:space="preserve">[15] R. M. O. Cruz, R. Sabourin, and G. D. C. Cavalcanti, "Dynamic classifier selection: Recent advances and perspectives," </w:t>
      </w:r>
      <w:r>
        <w:rPr>
          <w:b w:val="0"/>
          <w:i/>
        </w:rPr>
        <w:t>Information Fusion</w:t>
      </w:r>
      <w:r>
        <w:rPr>
          <w:b w:val="0"/>
          <w:i w:val="0"/>
        </w:rPr>
        <w:t>, vol. 41, pp. 195–216, 2018.</w:t>
      </w:r>
    </w:p>
    <w:p>
      <w:r>
        <w:rPr>
          <w:b w:val="0"/>
          <w:i w:val="0"/>
        </w:rPr>
        <w:t xml:space="preserve">[16] S. Kaufman, S. Rosset, and C. Perlich, "Leakage in data mining: Formulation, detection, and avoidance," </w:t>
      </w:r>
      <w:r>
        <w:rPr>
          <w:b w:val="0"/>
          <w:i/>
        </w:rPr>
        <w:t>ACM Trans. Knowledge Discovery from Data</w:t>
      </w:r>
      <w:r>
        <w:rPr>
          <w:b w:val="0"/>
          <w:i w:val="0"/>
        </w:rPr>
        <w:t>, vol. 6, no. 4, 2012.</w:t>
      </w:r>
    </w:p>
    <w:p>
      <w:r>
        <w:rPr>
          <w:b w:val="0"/>
          <w:i w:val="0"/>
        </w:rPr>
        <w:t xml:space="preserve">[17] S. Kapoor and A. Narayanan, "Leakage and the reproducibility crisis in machine-learning-based science," </w:t>
      </w:r>
      <w:r>
        <w:rPr>
          <w:b w:val="0"/>
          <w:i/>
        </w:rPr>
        <w:t>Patterns</w:t>
      </w:r>
      <w:r>
        <w:rPr>
          <w:b w:val="0"/>
          <w:i w:val="0"/>
        </w:rPr>
        <w:t>, vol. 4, no. 9, p. 100804, 2023.</w:t>
      </w:r>
    </w:p>
    <w:p>
      <w:r>
        <w:rPr>
          <w:b w:val="0"/>
          <w:i w:val="0"/>
        </w:rPr>
        <w:t xml:space="preserve">[18] S. M. Lundberg and S. Lee, "A unified approach to interpreting model predictions," in </w:t>
      </w:r>
      <w:r>
        <w:rPr>
          <w:b w:val="0"/>
          <w:i/>
        </w:rPr>
        <w:t>Proc. NeurIPS</w:t>
      </w:r>
      <w:r>
        <w:rPr>
          <w:b w:val="0"/>
          <w:i w:val="0"/>
        </w:rPr>
        <w:t>, 2017.</w:t>
      </w:r>
    </w:p>
    <w:p>
      <w:r>
        <w:rPr>
          <w:b w:val="0"/>
          <w:i w:val="0"/>
        </w:rPr>
        <w:t xml:space="preserve">[19] M. T. Ribeiro, S. Singh, and C. Guestrin, "'Why should I trust you?': Explaining the predictions of any classifier," in </w:t>
      </w:r>
      <w:r>
        <w:rPr>
          <w:b w:val="0"/>
          <w:i/>
        </w:rPr>
        <w:t>Proc. ACM SIGKDD (KDD)</w:t>
      </w:r>
      <w:r>
        <w:rPr>
          <w:b w:val="0"/>
          <w:i w:val="0"/>
        </w:rPr>
        <w:t>, 2016.</w:t>
      </w:r>
    </w:p>
    <w:p>
      <w:r>
        <w:rPr>
          <w:b w:val="0"/>
          <w:i w:val="0"/>
        </w:rPr>
        <w:t xml:space="preserve">[20] J. H. Friedman, "Greedy function approximation: A gradient boosting machine," </w:t>
      </w:r>
      <w:r>
        <w:rPr>
          <w:b w:val="0"/>
          <w:i/>
        </w:rPr>
        <w:t>Annals of Statistics</w:t>
      </w:r>
      <w:r>
        <w:rPr>
          <w:b w:val="0"/>
          <w:i w:val="0"/>
        </w:rPr>
        <w:t>, vol. 29, no. 5, pp. 1189–1232, 2001.</w:t>
      </w:r>
    </w:p>
    <w:p>
      <w:r>
        <w:rPr>
          <w:b w:val="0"/>
          <w:i w:val="0"/>
        </w:rPr>
        <w:t xml:space="preserve">[21] T. Chen and C. Guestrin, "XGBoost: A scalable tree boosting system," in </w:t>
      </w:r>
      <w:r>
        <w:rPr>
          <w:b w:val="0"/>
          <w:i/>
        </w:rPr>
        <w:t>Proc. ACM SIGKDD (KDD)</w:t>
      </w:r>
      <w:r>
        <w:rPr>
          <w:b w:val="0"/>
          <w:i w:val="0"/>
        </w:rPr>
        <w:t>, 2016.</w:t>
      </w:r>
    </w:p>
    <w:p>
      <w:r>
        <w:rPr>
          <w:b w:val="0"/>
          <w:i w:val="0"/>
        </w:rPr>
        <w:t xml:space="preserve">[22] G. Ke, Q. Meng, T. Finley, T. Wang, W. Chen, W. Ma, Q. Ye, and T.-Y. Liu, "LightGBM: A highly efficient gradient boosting decision tree," in </w:t>
      </w:r>
      <w:r>
        <w:rPr>
          <w:b w:val="0"/>
          <w:i/>
        </w:rPr>
        <w:t>Proc. NeurIPS</w:t>
      </w:r>
      <w:r>
        <w:rPr>
          <w:b w:val="0"/>
          <w:i w:val="0"/>
        </w:rPr>
        <w:t>, 2017.</w:t>
      </w:r>
    </w:p>
    <w:p>
      <w:r>
        <w:rPr>
          <w:b w:val="0"/>
          <w:i w:val="0"/>
        </w:rPr>
        <w:t xml:space="preserve">[23] L. Prokhorenkova, G. Gusev, A. Vorobev, A. V. Dorogush, and A. Gulin, "CatBoost: Unbiased boosting with categorical features," in </w:t>
      </w:r>
      <w:r>
        <w:rPr>
          <w:b w:val="0"/>
          <w:i/>
        </w:rPr>
        <w:t>Proc. NeurIPS</w:t>
      </w:r>
      <w:r>
        <w:rPr>
          <w:b w:val="0"/>
          <w:i w:val="0"/>
        </w:rPr>
        <w:t>, 2018.</w:t>
      </w:r>
    </w:p>
    <w:p>
      <w:r>
        <w:rPr>
          <w:b w:val="0"/>
          <w:i w:val="0"/>
        </w:rPr>
        <w:t xml:space="preserve">[24] D. R. Cox, "Regression models and life-tables," </w:t>
      </w:r>
      <w:r>
        <w:rPr>
          <w:b w:val="0"/>
          <w:i/>
        </w:rPr>
        <w:t>J. Royal Statistical Society: Series B</w:t>
      </w:r>
      <w:r>
        <w:rPr>
          <w:b w:val="0"/>
          <w:i w:val="0"/>
        </w:rPr>
        <w:t>, vol. 34, no. 2, pp. 187–220, 1972.</w:t>
      </w:r>
    </w:p>
    <w:p>
      <w:r>
        <w:rPr>
          <w:b w:val="0"/>
          <w:i w:val="0"/>
        </w:rPr>
        <w:t xml:space="preserve">[25] I. Gómez-Méndez et al., "Benchmarking classical, machine learning, and Bayesian survival models for clinical prediction," </w:t>
      </w:r>
      <w:r>
        <w:rPr>
          <w:b w:val="0"/>
          <w:i/>
        </w:rPr>
        <w:t>arXiv:2509.10073</w:t>
      </w:r>
      <w:r>
        <w:rPr>
          <w:b w:val="0"/>
          <w:i w:val="0"/>
        </w:rPr>
        <w:t>, 2025.</w:t>
      </w:r>
    </w:p>
    <w:sectPr w:rsidR="00FC693F" w:rsidRPr="0006063C" w:rsidSect="00034616">
      <w:pgSz w:w="11906" w:h="16838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