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Financial Summary - Acme Corp</w:t>
      </w:r>
    </w:p>
    <w:p>
      <w:r>
        <w:t>Q4 2023 was a record-breaking quarter for Acme Corp. Total revenue reached $45 million, representing a 20% year-over-year growth.</w:t>
      </w:r>
    </w:p>
    <w:p>
      <w:pPr>
        <w:pStyle w:val="Heading1"/>
      </w:pPr>
      <w:r>
        <w:t>Revenue Breakdown</w:t>
      </w:r>
    </w:p>
    <w:p>
      <w:r>
        <w:t>The standard anvil line contributed $25 million. The newly introduced rocket-powered skates generated $15 million. Services and maintenance made up the remaining $5 million.</w:t>
      </w:r>
    </w:p>
    <w:p>
      <w:pPr>
        <w:pStyle w:val="Heading1"/>
      </w:pPr>
      <w:r>
        <w:t>Operating Expenses</w:t>
      </w:r>
    </w:p>
    <w:p>
      <w:r>
        <w:t>Operating expenses increased by 15% due to aggressive R&amp;D investments in the skate division and the hiring of 50 new engineers.</w:t>
      </w:r>
    </w:p>
    <w:p>
      <w:pPr>
        <w:pStyle w:val="Heading1"/>
      </w:pPr>
      <w:r>
        <w:t>Future Outlook</w:t>
      </w:r>
    </w:p>
    <w:p>
      <w:r>
        <w:t>For Q1 2024, the company projects revenue between $48M and $50M, assuming the supply chain issues with rocket fuel are resolved by February.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