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80" w:type="dxa"/>
        <w:tblInd w:w="-11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6681"/>
      </w:tblGrid>
      <w:tr w:rsidR="00300F14" w:rsidTr="00300F14">
        <w:trPr>
          <w:trHeight w:val="60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Sr no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Billing and order processing</w:t>
            </w:r>
          </w:p>
        </w:tc>
      </w:tr>
      <w:tr w:rsidR="00300F14" w:rsidTr="00300F14">
        <w:trPr>
          <w:trHeight w:val="52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Stock level accuracy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Demand forecasting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Order processing</w:t>
            </w:r>
          </w:p>
        </w:tc>
      </w:tr>
      <w:tr w:rsidR="00300F14" w:rsidTr="00300F14">
        <w:trPr>
          <w:trHeight w:val="52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Billing and order processing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lightGray"/>
              </w:rPr>
              <w:t>Returns processing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lightGray"/>
              </w:rPr>
              <w:t>Invoice management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lightGray"/>
              </w:rPr>
              <w:t>Tracking &amp; Payment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lightGray"/>
              </w:rPr>
              <w:t>Alerts &amp; Notification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Accounting integration</w:t>
            </w:r>
          </w:p>
        </w:tc>
      </w:tr>
      <w:tr w:rsidR="00300F14" w:rsidTr="00300F14">
        <w:trPr>
          <w:trHeight w:val="52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Tip &amp; Check Handling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Reprint of bill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Settings of Order (Delivery On/Off)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Different Price management for different sources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Manual creation of order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Order filtering</w:t>
            </w:r>
          </w:p>
        </w:tc>
      </w:tr>
      <w:tr w:rsidR="00300F14" w:rsidTr="00300F14">
        <w:trPr>
          <w:trHeight w:val="52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Support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Cancellation &amp; Refund Policy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Centralised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Order System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Third party API Integration &amp; Settings</w:t>
            </w:r>
          </w:p>
        </w:tc>
      </w:tr>
      <w:tr w:rsidR="00300F14" w:rsidTr="00300F14">
        <w:trPr>
          <w:trHeight w:val="51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KOT Management</w:t>
            </w:r>
          </w:p>
        </w:tc>
      </w:tr>
      <w:tr w:rsidR="00300F14" w:rsidTr="00300F14">
        <w:trPr>
          <w:trHeight w:val="52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6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Reports</w:t>
            </w:r>
          </w:p>
        </w:tc>
      </w:tr>
    </w:tbl>
    <w:p w:rsidR="00300F14" w:rsidRDefault="00300F14" w:rsidP="00300F14">
      <w:pPr>
        <w:spacing w:after="0"/>
        <w:jc w:val="both"/>
      </w:pPr>
    </w:p>
    <w:tbl>
      <w:tblPr>
        <w:tblStyle w:val="TableGrid"/>
        <w:tblW w:w="7793" w:type="dxa"/>
        <w:tblInd w:w="-42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6661"/>
      </w:tblGrid>
      <w:tr w:rsidR="00300F14" w:rsidTr="00300F14">
        <w:trPr>
          <w:trHeight w:val="6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Sr no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Inventory Management</w:t>
            </w:r>
          </w:p>
        </w:tc>
      </w:tr>
      <w:tr w:rsidR="00300F14" w:rsidTr="00300F14">
        <w:trPr>
          <w:trHeight w:val="52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Procurement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Vendor database management</w:t>
            </w:r>
          </w:p>
        </w:tc>
      </w:tr>
      <w:tr w:rsidR="00300F14" w:rsidTr="00300F14">
        <w:trPr>
          <w:trHeight w:val="52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Product database management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proofErr w:type="spellStart"/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Realtime</w:t>
            </w:r>
            <w:proofErr w:type="spellEnd"/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 xml:space="preserve"> stock tracking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Alerts &amp; Notification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Demand Forecasting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Opening Stock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 xml:space="preserve">Stock </w:t>
            </w:r>
            <w:proofErr w:type="spellStart"/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Updation</w:t>
            </w:r>
            <w:proofErr w:type="spellEnd"/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"/>
              <w:jc w:val="both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Wastage Management</w:t>
            </w:r>
          </w:p>
        </w:tc>
      </w:tr>
      <w:tr w:rsidR="00300F14" w:rsidTr="00300F14">
        <w:trPr>
          <w:trHeight w:val="52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Modifier Mapping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Receipt Note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Distributor Master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Purchase</w:t>
            </w:r>
          </w:p>
        </w:tc>
      </w:tr>
      <w:tr w:rsidR="00300F14" w:rsidTr="00D4035B">
        <w:trPr>
          <w:trHeight w:val="59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Purchase return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Purchase Order</w:t>
            </w:r>
          </w:p>
        </w:tc>
      </w:tr>
      <w:tr w:rsidR="00300F14" w:rsidTr="00300F14">
        <w:trPr>
          <w:trHeight w:val="52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Purchase and Approval Management</w:t>
            </w:r>
          </w:p>
        </w:tc>
      </w:tr>
      <w:tr w:rsidR="00300F14" w:rsidTr="00300F14">
        <w:trPr>
          <w:trHeight w:val="51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Reorder</w:t>
            </w:r>
          </w:p>
        </w:tc>
      </w:tr>
    </w:tbl>
    <w:p w:rsidR="004F329A" w:rsidRDefault="004F329A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W w:w="9031" w:type="dxa"/>
        <w:tblInd w:w="-56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12"/>
        <w:gridCol w:w="7519"/>
      </w:tblGrid>
      <w:tr w:rsidR="00300F14" w:rsidTr="00300F14">
        <w:trPr>
          <w:trHeight w:val="60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right="13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Sr no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Employee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Backoffice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Management</w:t>
            </w:r>
          </w:p>
        </w:tc>
      </w:tr>
      <w:tr w:rsidR="00300F14" w:rsidTr="00300F14">
        <w:trPr>
          <w:trHeight w:val="520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Employee Database</w:t>
            </w:r>
          </w:p>
        </w:tc>
      </w:tr>
      <w:tr w:rsidR="00300F14" w:rsidTr="00300F14">
        <w:trPr>
          <w:trHeight w:val="521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Attendance Management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Claim &amp; Reimbursement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Payroll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Performance (PMS)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Time and Attendance</w:t>
            </w:r>
          </w:p>
        </w:tc>
      </w:tr>
      <w:tr w:rsidR="00300F14" w:rsidTr="00300F14">
        <w:trPr>
          <w:trHeight w:val="521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Leave Management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Training and Development Module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Shift Management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9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Roles and Permissions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9"/>
              <w:jc w:val="both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Employee Shift Transfer Provision</w:t>
            </w:r>
          </w:p>
        </w:tc>
      </w:tr>
      <w:tr w:rsidR="00300F14" w:rsidTr="00300F14">
        <w:trPr>
          <w:trHeight w:val="518"/>
        </w:trPr>
        <w:tc>
          <w:tcPr>
            <w:tcW w:w="1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Online Document Signature (similar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Docusign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00F14" w:rsidTr="00300F14">
        <w:trPr>
          <w:trHeight w:val="521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1"/>
              <w:jc w:val="both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D4035B">
              <w:rPr>
                <w:rFonts w:ascii="Times New Roman" w:eastAsia="Times New Roman" w:hAnsi="Times New Roman" w:cs="Times New Roman"/>
                <w:highlight w:val="green"/>
              </w:rPr>
              <w:t>Reports Analysis</w:t>
            </w:r>
          </w:p>
        </w:tc>
      </w:tr>
    </w:tbl>
    <w:tbl>
      <w:tblPr>
        <w:tblStyle w:val="TableGrid"/>
        <w:tblpPr w:leftFromText="180" w:rightFromText="180" w:vertAnchor="text" w:horzAnchor="margin" w:tblpY="-202"/>
        <w:tblW w:w="7762" w:type="dxa"/>
        <w:tblInd w:w="0" w:type="dxa"/>
        <w:tblCellMar>
          <w:top w:w="48" w:type="dxa"/>
          <w:left w:w="108" w:type="dxa"/>
          <w:right w:w="100" w:type="dxa"/>
        </w:tblCellMar>
        <w:tblLook w:val="04A0" w:firstRow="1" w:lastRow="0" w:firstColumn="1" w:lastColumn="0" w:noHBand="0" w:noVBand="1"/>
      </w:tblPr>
      <w:tblGrid>
        <w:gridCol w:w="1242"/>
        <w:gridCol w:w="6520"/>
      </w:tblGrid>
      <w:tr w:rsidR="00300F14" w:rsidTr="00300F14">
        <w:trPr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30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Sr no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CRM</w:t>
            </w:r>
          </w:p>
        </w:tc>
      </w:tr>
      <w:tr w:rsidR="00300F14" w:rsidTr="00300F14">
        <w:trPr>
          <w:trHeight w:val="52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E-mail marketing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Social media</w:t>
            </w:r>
          </w:p>
        </w:tc>
      </w:tr>
      <w:tr w:rsidR="00300F14" w:rsidTr="00300F14">
        <w:trPr>
          <w:trHeight w:val="5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Customer &amp; Contact Database management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Customer Event management (Birthday, anniversary greetings)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Feedback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Reviews against (Restaurant/Staff)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Event based alerts &amp; notifications</w:t>
            </w:r>
          </w:p>
        </w:tc>
      </w:tr>
      <w:tr w:rsidR="00300F14" w:rsidTr="00300F14">
        <w:trPr>
          <w:trHeight w:val="5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Pr="00C511D7" w:rsidRDefault="00300F14" w:rsidP="00300F14">
            <w:pPr>
              <w:jc w:val="both"/>
              <w:rPr>
                <w:highlight w:val="darkGray"/>
              </w:rPr>
            </w:pPr>
            <w:r w:rsidRPr="00C511D7">
              <w:rPr>
                <w:rFonts w:ascii="Times New Roman" w:eastAsia="Times New Roman" w:hAnsi="Times New Roman" w:cs="Times New Roman"/>
                <w:highlight w:val="darkGray"/>
              </w:rPr>
              <w:t>Billing events alerts &amp;notifications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43"/>
              <w:jc w:val="both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Ledger</w:t>
            </w:r>
          </w:p>
        </w:tc>
      </w:tr>
      <w:tr w:rsidR="00300F14" w:rsidTr="00300F14">
        <w:trPr>
          <w:trHeight w:val="5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39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Loyalty &amp; Gift Card management (Discounts &amp;Promotional Schemes)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pPr w:leftFromText="180" w:rightFromText="180" w:vertAnchor="text" w:horzAnchor="margin" w:tblpY="197"/>
        <w:tblW w:w="7745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6472"/>
      </w:tblGrid>
      <w:tr w:rsidR="00300F14" w:rsidTr="00300F14">
        <w:trPr>
          <w:trHeight w:val="60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3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Sr no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Accounting</w:t>
            </w:r>
          </w:p>
        </w:tc>
      </w:tr>
      <w:tr w:rsidR="00300F14" w:rsidTr="00300F14">
        <w:trPr>
          <w:trHeight w:val="52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Accounts Payable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Accounts Receivable</w:t>
            </w:r>
          </w:p>
        </w:tc>
      </w:tr>
      <w:tr w:rsidR="00300F14" w:rsidTr="00300F14">
        <w:trPr>
          <w:trHeight w:val="52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Cash Management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P&amp;L Analysis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Chart of Account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1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Reconciliation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1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Credit Note</w:t>
            </w:r>
          </w:p>
        </w:tc>
      </w:tr>
      <w:tr w:rsidR="00300F14" w:rsidTr="00300F14">
        <w:trPr>
          <w:trHeight w:val="52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1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Debit Note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61"/>
              <w:jc w:val="both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Start and EOD Cash and drawer management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Register management</w:t>
            </w:r>
          </w:p>
        </w:tc>
      </w:tr>
      <w:tr w:rsidR="00300F14" w:rsidTr="00300F14">
        <w:trPr>
          <w:trHeight w:val="51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358"/>
              <w:jc w:val="both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GST / VAT commodity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W w:w="7745" w:type="dxa"/>
        <w:tblInd w:w="-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6472"/>
      </w:tblGrid>
      <w:tr w:rsidR="00300F14" w:rsidTr="00300F14">
        <w:trPr>
          <w:trHeight w:val="60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31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Sr no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Training Management</w:t>
            </w:r>
          </w:p>
        </w:tc>
      </w:tr>
      <w:tr w:rsidR="00300F14" w:rsidTr="00300F14">
        <w:trPr>
          <w:trHeight w:val="52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Training &amp; Videos based on roles &amp; Permissions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W w:w="7625" w:type="dxa"/>
        <w:tblInd w:w="-5" w:type="dxa"/>
        <w:tblCellMar>
          <w:top w:w="48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937"/>
        <w:gridCol w:w="6688"/>
      </w:tblGrid>
      <w:tr w:rsidR="00300F14" w:rsidTr="00300F14">
        <w:trPr>
          <w:trHeight w:val="600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Sr no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Admin and Security management</w:t>
            </w:r>
          </w:p>
        </w:tc>
      </w:tr>
      <w:tr w:rsidR="00300F14" w:rsidTr="00300F14">
        <w:trPr>
          <w:trHeight w:val="520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8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Security settings based on individual screen operations</w:t>
            </w:r>
          </w:p>
        </w:tc>
      </w:tr>
      <w:tr w:rsidR="00300F14" w:rsidTr="00300F14">
        <w:trPr>
          <w:trHeight w:val="521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8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Password protected screen with the rights of user</w:t>
            </w:r>
          </w:p>
        </w:tc>
      </w:tr>
      <w:tr w:rsidR="00300F14" w:rsidTr="00300F14">
        <w:trPr>
          <w:trHeight w:val="51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8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Security settings based on user or role</w:t>
            </w:r>
          </w:p>
        </w:tc>
      </w:tr>
      <w:tr w:rsidR="00300F14" w:rsidTr="00300F14">
        <w:trPr>
          <w:trHeight w:val="51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88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Day End Process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pPr w:leftFromText="180" w:rightFromText="180" w:vertAnchor="text" w:horzAnchor="margin" w:tblpY="364"/>
        <w:tblW w:w="7651" w:type="dxa"/>
        <w:tblInd w:w="0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6661"/>
      </w:tblGrid>
      <w:tr w:rsidR="00300F14" w:rsidTr="00300F14">
        <w:trPr>
          <w:trHeight w:val="67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Sr no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Multi Location management</w:t>
            </w:r>
          </w:p>
        </w:tc>
      </w:tr>
      <w:tr w:rsidR="00300F14" w:rsidTr="00300F14">
        <w:trPr>
          <w:trHeight w:val="52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Multiple Restaurant</w:t>
            </w:r>
          </w:p>
        </w:tc>
      </w:tr>
      <w:tr w:rsidR="00300F14" w:rsidTr="00300F14">
        <w:trPr>
          <w:trHeight w:val="51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Location Stock Transfer</w:t>
            </w:r>
          </w:p>
        </w:tc>
      </w:tr>
      <w:tr w:rsidR="00300F14" w:rsidTr="00300F14">
        <w:trPr>
          <w:trHeight w:val="51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Location Employee Transfer</w:t>
            </w:r>
          </w:p>
        </w:tc>
      </w:tr>
      <w:tr w:rsidR="00300F14" w:rsidTr="00300F14">
        <w:trPr>
          <w:trHeight w:val="52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Sales bill (Multi Restaurant)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tbl>
      <w:tblPr>
        <w:tblStyle w:val="TableGrid"/>
        <w:tblpPr w:leftFromText="180" w:rightFromText="180" w:vertAnchor="text" w:horzAnchor="margin" w:tblpY="256"/>
        <w:tblW w:w="7656" w:type="dxa"/>
        <w:tblInd w:w="0" w:type="dxa"/>
        <w:tblCellMar>
          <w:left w:w="107" w:type="dxa"/>
          <w:right w:w="90" w:type="dxa"/>
        </w:tblCellMar>
        <w:tblLook w:val="04A0" w:firstRow="1" w:lastRow="0" w:firstColumn="1" w:lastColumn="0" w:noHBand="0" w:noVBand="1"/>
      </w:tblPr>
      <w:tblGrid>
        <w:gridCol w:w="995"/>
        <w:gridCol w:w="6661"/>
      </w:tblGrid>
      <w:tr w:rsidR="00300F14" w:rsidTr="00300F14">
        <w:trPr>
          <w:trHeight w:val="60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Sr no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00F14" w:rsidRDefault="00300F14" w:rsidP="00300F1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Reporting</w:t>
            </w:r>
          </w:p>
        </w:tc>
      </w:tr>
      <w:tr w:rsidR="00300F14" w:rsidTr="00300F14">
        <w:trPr>
          <w:trHeight w:val="52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Basic sales reports</w:t>
            </w:r>
          </w:p>
        </w:tc>
      </w:tr>
      <w:tr w:rsidR="00300F14" w:rsidTr="00300F14">
        <w:trPr>
          <w:trHeight w:val="521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Basic Purchase Reports</w:t>
            </w:r>
          </w:p>
        </w:tc>
      </w:tr>
      <w:tr w:rsidR="00300F14" w:rsidTr="00300F14">
        <w:trPr>
          <w:trHeight w:val="51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>Master Reports</w:t>
            </w:r>
          </w:p>
        </w:tc>
      </w:tr>
      <w:tr w:rsidR="00300F14" w:rsidTr="00300F14">
        <w:trPr>
          <w:trHeight w:val="82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 xml:space="preserve">Detailed sales analysis customer based, distributor based, product age based, profit margin based, </w:t>
            </w:r>
            <w:proofErr w:type="spellStart"/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etc</w:t>
            </w:r>
            <w:proofErr w:type="spellEnd"/>
          </w:p>
        </w:tc>
      </w:tr>
      <w:tr w:rsidR="00300F14" w:rsidTr="00300F14">
        <w:trPr>
          <w:trHeight w:val="82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 w:right="1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Detailed analysis on distributor wise purchase turnaround ratio, parcel entry, order and supplied quantity difference analysis, etc.</w:t>
            </w:r>
          </w:p>
        </w:tc>
      </w:tr>
      <w:tr w:rsidR="00300F14" w:rsidTr="00300F14">
        <w:trPr>
          <w:trHeight w:val="1135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Analysis for top n customer for the month, non-moving products, fast moving products, non-ordering customer, low margin products, product age-based sales, etc.</w:t>
            </w:r>
          </w:p>
        </w:tc>
      </w:tr>
      <w:tr w:rsidR="00300F14" w:rsidTr="00300F14">
        <w:trPr>
          <w:trHeight w:val="113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 w:right="149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 xml:space="preserve">Inventory analysis on Dead stock analysis, excess stock, wastage, damage, ordered </w:t>
            </w:r>
            <w:proofErr w:type="spellStart"/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qty</w:t>
            </w:r>
            <w:proofErr w:type="spellEnd"/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 xml:space="preserve"> and supplied quantity difference, physical stock difference analysis, etc.</w:t>
            </w:r>
          </w:p>
        </w:tc>
      </w:tr>
      <w:tr w:rsidR="00300F14" w:rsidTr="00300F14">
        <w:trPr>
          <w:trHeight w:val="51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right="19"/>
              <w:jc w:val="both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F14" w:rsidRDefault="00300F14" w:rsidP="00300F14">
            <w:pPr>
              <w:ind w:left="1"/>
              <w:jc w:val="both"/>
            </w:pPr>
            <w:r w:rsidRPr="00C511D7">
              <w:rPr>
                <w:rFonts w:ascii="Times New Roman" w:eastAsia="Times New Roman" w:hAnsi="Times New Roman" w:cs="Times New Roman"/>
                <w:highlight w:val="green"/>
              </w:rPr>
              <w:t>Purchase/Purchase Return Day end summary</w:t>
            </w:r>
          </w:p>
        </w:tc>
      </w:tr>
    </w:tbl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300F14" w:rsidP="00300F14">
      <w:pPr>
        <w:jc w:val="both"/>
      </w:pPr>
    </w:p>
    <w:p w:rsidR="00300F14" w:rsidRDefault="00662D1E" w:rsidP="00300F14">
      <w:pPr>
        <w:jc w:val="both"/>
      </w:pPr>
      <w:r>
        <w:lastRenderedPageBreak/>
        <w:t>Pointers in POS –</w:t>
      </w:r>
    </w:p>
    <w:p w:rsidR="00662D1E" w:rsidRDefault="00662D1E" w:rsidP="00662D1E">
      <w:pPr>
        <w:pStyle w:val="ListParagraph"/>
        <w:numPr>
          <w:ilvl w:val="0"/>
          <w:numId w:val="1"/>
        </w:numPr>
        <w:jc w:val="both"/>
      </w:pPr>
      <w:r>
        <w:t>1</w:t>
      </w:r>
      <w:r w:rsidRPr="00662D1E">
        <w:rPr>
          <w:vertAlign w:val="superscript"/>
        </w:rPr>
        <w:t>st</w:t>
      </w:r>
      <w:r>
        <w:t xml:space="preserve"> step Copy all feature from old user interface into new user interface.</w:t>
      </w:r>
    </w:p>
    <w:p w:rsidR="00662D1E" w:rsidRDefault="00662D1E" w:rsidP="00662D1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F93671">
        <w:t>All points mention in above table is covered.</w:t>
      </w:r>
    </w:p>
    <w:p w:rsidR="00F93671" w:rsidRDefault="00F93671" w:rsidP="00662D1E">
      <w:pPr>
        <w:pStyle w:val="ListParagraph"/>
        <w:numPr>
          <w:ilvl w:val="0"/>
          <w:numId w:val="1"/>
        </w:numPr>
        <w:jc w:val="both"/>
      </w:pPr>
      <w:r>
        <w:t>Hardware integration (Printer and Billing machine for payment)</w:t>
      </w:r>
    </w:p>
    <w:p w:rsidR="00E90341" w:rsidRDefault="00E90341" w:rsidP="00662D1E">
      <w:pPr>
        <w:pStyle w:val="ListParagraph"/>
        <w:numPr>
          <w:ilvl w:val="0"/>
          <w:numId w:val="1"/>
        </w:numPr>
        <w:jc w:val="both"/>
      </w:pPr>
      <w:r>
        <w:t>1</w:t>
      </w:r>
      <w:r w:rsidRPr="00E90341">
        <w:rPr>
          <w:vertAlign w:val="superscript"/>
        </w:rPr>
        <w:t>st</w:t>
      </w:r>
      <w:r>
        <w:t xml:space="preserve"> Flow change in system is -- Order processing system in </w:t>
      </w:r>
      <w:proofErr w:type="spellStart"/>
      <w:r>
        <w:t>pos</w:t>
      </w:r>
      <w:proofErr w:type="spellEnd"/>
      <w:r>
        <w:t xml:space="preserve"> is order wise, we have configured item wise like (if we are placing order for 4 item then for </w:t>
      </w:r>
      <w:proofErr w:type="spellStart"/>
      <w:r>
        <w:t>kot</w:t>
      </w:r>
      <w:proofErr w:type="spellEnd"/>
      <w:r>
        <w:t xml:space="preserve"> and service boy screen we don’t have option to make item wise update served on table or cooked from kitchen).</w:t>
      </w:r>
    </w:p>
    <w:p w:rsidR="00AF7ED4" w:rsidRDefault="00E90341" w:rsidP="00AF7ED4">
      <w:pPr>
        <w:pStyle w:val="ListParagraph"/>
        <w:numPr>
          <w:ilvl w:val="0"/>
          <w:numId w:val="1"/>
        </w:numPr>
        <w:jc w:val="both"/>
      </w:pPr>
      <w:r>
        <w:t>2</w:t>
      </w:r>
      <w:r w:rsidRPr="00E90341">
        <w:rPr>
          <w:vertAlign w:val="superscript"/>
        </w:rPr>
        <w:t>nd</w:t>
      </w:r>
      <w:r>
        <w:t xml:space="preserve"> Flow change </w:t>
      </w:r>
      <w:r w:rsidR="00AF7ED4">
        <w:t>is like</w:t>
      </w:r>
      <w:r>
        <w:t xml:space="preserve"> general Restaurants or any food industries when</w:t>
      </w:r>
      <w:r w:rsidR="00AF7ED4">
        <w:t xml:space="preserve"> some order anything he pays the bill after lunch or dinner, in our system when we are placing order we have to create bill. We need to change this logic.</w:t>
      </w:r>
    </w:p>
    <w:p w:rsidR="00E90341" w:rsidRDefault="004F329A" w:rsidP="00AF7ED4">
      <w:pPr>
        <w:pStyle w:val="ListParagraph"/>
        <w:numPr>
          <w:ilvl w:val="0"/>
          <w:numId w:val="1"/>
        </w:numPr>
        <w:jc w:val="both"/>
      </w:pPr>
      <w:r>
        <w:t>lk</w:t>
      </w:r>
      <w:bookmarkStart w:id="0" w:name="_GoBack"/>
      <w:bookmarkEnd w:id="0"/>
      <w:r w:rsidR="00AF7ED4">
        <w:t xml:space="preserve"> </w:t>
      </w:r>
      <w:r w:rsidR="00E90341">
        <w:t xml:space="preserve">   </w:t>
      </w:r>
    </w:p>
    <w:p w:rsidR="00E90341" w:rsidRDefault="00E90341" w:rsidP="00E90341">
      <w:pPr>
        <w:ind w:left="360"/>
        <w:jc w:val="both"/>
      </w:pPr>
    </w:p>
    <w:sectPr w:rsidR="00E9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A97"/>
    <w:multiLevelType w:val="hybridMultilevel"/>
    <w:tmpl w:val="ADC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4"/>
    <w:rsid w:val="001962BA"/>
    <w:rsid w:val="0023656B"/>
    <w:rsid w:val="00300F14"/>
    <w:rsid w:val="004F329A"/>
    <w:rsid w:val="00662D1E"/>
    <w:rsid w:val="00A21E8C"/>
    <w:rsid w:val="00AF7ED4"/>
    <w:rsid w:val="00C511D7"/>
    <w:rsid w:val="00D4035B"/>
    <w:rsid w:val="00DC0884"/>
    <w:rsid w:val="00E90341"/>
    <w:rsid w:val="00F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AA53"/>
  <w15:chartTrackingRefBased/>
  <w15:docId w15:val="{6185E611-952B-4BB7-B5ED-1AE52887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F1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0F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10</cp:revision>
  <dcterms:created xsi:type="dcterms:W3CDTF">2024-01-16T17:07:00Z</dcterms:created>
  <dcterms:modified xsi:type="dcterms:W3CDTF">2024-01-16T18:32:00Z</dcterms:modified>
</cp:coreProperties>
</file>