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2740"/>
          <w:sz w:val="52"/>
          <w:szCs w:val="52"/>
        </w:rPr>
        <w:t xml:space="preserve">CapExIQ</w:t>
      </w:r>
    </w:p>
    <w:p>
      <w:pPr>
        <w:pBdr>
          <w:bottom w:val="single" w:color="0E7490" w:sz="12" w:space="6"/>
        </w:pBdr>
        <w:spacing w:after="100"/>
      </w:pPr>
      <w:r>
        <w:rPr>
          <w:rFonts w:ascii="Calibri" w:cs="Calibri" w:eastAsia="Calibri" w:hAnsi="Calibri"/>
          <w:color w:val="475569"/>
          <w:sz w:val="26"/>
          <w:szCs w:val="26"/>
        </w:rPr>
        <w:t xml:space="preserve">Platform guide and presentation script</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2100"/>
        <w:gridCol w:w="7260"/>
      </w:tblGrid>
      <w:tr>
        <w:trPr>
          <w:cantSplit/>
          <w:tblHeader/>
        </w:trPr>
        <w:tc>
          <w:tcPr>
            <w:tcW w:type="dxa" w:w="21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Field</w:t>
            </w:r>
          </w:p>
        </w:tc>
        <w:tc>
          <w:tcPr>
            <w:tcW w:type="dxa" w:w="72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Detail</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Topic</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Topic 9, AI capital-budgeting dashboard</w:t>
            </w:r>
          </w:p>
        </w:tc>
      </w:tr>
      <w:tr>
        <w:trPr>
          <w:cantSplit/>
          <w:tblHeader w:val="false"/>
        </w:trPr>
        <w:tc>
          <w:tcPr>
            <w:tcW w:type="dxa" w:w="2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Worked case</w:t>
            </w:r>
          </w:p>
        </w:tc>
        <w:tc>
          <w:tcPr>
            <w:tcW w:type="dxa" w:w="7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NovaRetail GCC, automated micro-fulfilment centre, Dubai</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Group</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Krishna Mathur, Neel Kapadia, Yash Petkar, Atharva Soundankar, Tanishk Verma, Nihal Pusthe, Karan Baid</w:t>
            </w:r>
          </w:p>
        </w:tc>
      </w:tr>
      <w:tr>
        <w:trPr>
          <w:cantSplit/>
          <w:tblHeader w:val="false"/>
        </w:trPr>
        <w:tc>
          <w:tcPr>
            <w:tcW w:type="dxa" w:w="2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Talk length</w:t>
            </w:r>
          </w:p>
        </w:tc>
        <w:tc>
          <w:tcPr>
            <w:tcW w:type="dxa" w:w="7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13 to 14 minutes across seven speakers</w:t>
            </w:r>
          </w:p>
        </w:tc>
      </w:tr>
      <w:tr>
        <w:trPr>
          <w:cantSplit/>
          <w:tblHeader w:val="false"/>
        </w:trPr>
        <w:tc>
          <w:tcPr>
            <w:tcW w:type="dxa" w:w="21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Date</w:t>
            </w:r>
          </w:p>
        </w:tc>
        <w:tc>
          <w:tcPr>
            <w:tcW w:type="dxa" w:w="72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August 2026</w:t>
            </w:r>
          </w:p>
        </w:tc>
      </w:tr>
    </w:tbl>
    <w:p>
      <w:pPr>
        <w:spacing w:after="220"/>
      </w:pPr>
      <w:r>
        <w:rPr>
          <w:rFonts w:ascii="Calibri" w:cs="Calibri" w:eastAsia="Calibri" w:hAnsi="Calibri"/>
          <w:sz w:val="21"/>
          <w:szCs w:val="21"/>
        </w:rPr>
        <w:t xml:space="preserve"/>
      </w:r>
    </w:p>
    <w:p>
      <w:pPr>
        <w:pStyle w:val="Heading1"/>
        <w:pBdr>
          <w:bottom w:val="single" w:color="0E7490" w:sz="8" w:space="4"/>
        </w:pBdr>
        <w:spacing w:after="140" w:before="300"/>
      </w:pPr>
      <w:r>
        <w:rPr>
          <w:rFonts w:ascii="Calibri" w:cs="Calibri" w:eastAsia="Calibri" w:hAnsi="Calibri"/>
          <w:b/>
          <w:bCs/>
          <w:color w:val="0F2740"/>
          <w:sz w:val="26"/>
          <w:szCs w:val="26"/>
        </w:rPr>
        <w:t xml:space="preserve">1. What this document covers</w:t>
      </w:r>
    </w:p>
    <w:p>
      <w:pPr>
        <w:spacing w:after="120" w:before="0" w:line="276"/>
      </w:pPr>
      <w:r>
        <w:rPr>
          <w:rFonts w:ascii="Calibri" w:cs="Calibri" w:eastAsia="Calibri" w:hAnsi="Calibri"/>
          <w:sz w:val="21"/>
          <w:szCs w:val="21"/>
        </w:rPr>
        <w:t xml:space="preserve">Two things. The first half explains what the platform actually does, module by module, so anyone in the group can answer a question about a screen they did not personally build. The second half is the talk, split seven ways, with timings.</w:t>
      </w:r>
    </w:p>
    <w:p>
      <w:pPr>
        <w:spacing w:after="120" w:before="0" w:line="276"/>
      </w:pPr>
      <w:r>
        <w:rPr>
          <w:rFonts w:ascii="Calibri" w:cs="Calibri" w:eastAsia="Calibri" w:hAnsi="Calibri"/>
          <w:sz w:val="21"/>
          <w:szCs w:val="21"/>
        </w:rPr>
        <w:t xml:space="preserve">If you only read one thing before the presentation, read section 3. It is the argument the whole project rests on, and every question we have been asked so far has come back to it.</w:t>
      </w:r>
    </w:p>
    <w:p>
      <w:pPr>
        <w:pStyle w:val="Heading1"/>
        <w:pBdr>
          <w:bottom w:val="single" w:color="0E7490" w:sz="8" w:space="4"/>
        </w:pBdr>
        <w:spacing w:after="140" w:before="300"/>
      </w:pPr>
      <w:r>
        <w:rPr>
          <w:rFonts w:ascii="Calibri" w:cs="Calibri" w:eastAsia="Calibri" w:hAnsi="Calibri"/>
          <w:b/>
          <w:bCs/>
          <w:color w:val="0F2740"/>
          <w:sz w:val="26"/>
          <w:szCs w:val="26"/>
        </w:rPr>
        <w:t xml:space="preserve">2. What the platform is</w:t>
      </w:r>
    </w:p>
    <w:p>
      <w:pPr>
        <w:spacing w:after="120" w:before="0" w:line="276"/>
      </w:pPr>
      <w:r>
        <w:rPr>
          <w:rFonts w:ascii="Calibri" w:cs="Calibri" w:eastAsia="Calibri" w:hAnsi="Calibri"/>
          <w:sz w:val="21"/>
          <w:szCs w:val="21"/>
        </w:rPr>
        <w:t xml:space="preserve">CapExIQ evaluates a proposed capital investment and tells you whether it is worth doing. The worked case is a hypothetical UAE retailer, NovaRetail GCC, deciding whether to spend 24 million dirhams on an automated micro-fulfilment centre in Dubai instead of continuing to pick online orders by hand out of the back of its shops.</w:t>
      </w:r>
    </w:p>
    <w:p>
      <w:pPr>
        <w:spacing w:after="120" w:before="0" w:line="276"/>
      </w:pPr>
      <w:r>
        <w:rPr>
          <w:rFonts w:ascii="Calibri" w:cs="Calibri" w:eastAsia="Calibri" w:hAnsi="Calibri"/>
          <w:sz w:val="21"/>
          <w:szCs w:val="21"/>
        </w:rPr>
        <w:t xml:space="preserve">It is a Next.js application with about 36 screens. Underneath it is a finance engine written in TypeScript that computes net present value, internal rate of return, modified IRR, profitability index and both payback measures. Around that sit twelve AI route handlers, a retrieval system over the project documentation, and a role-based access layer.</w:t>
      </w:r>
    </w:p>
    <w:p>
      <w:pPr>
        <w:spacing w:after="120" w:before="0" w:line="276"/>
      </w:pPr>
      <w:r>
        <w:rPr>
          <w:rFonts w:ascii="Calibri" w:cs="Calibri" w:eastAsia="Calibri" w:hAnsi="Calibri"/>
          <w:sz w:val="21"/>
          <w:szCs w:val="21"/>
        </w:rPr>
        <w:t xml:space="preserve">The engine is the part we would defend hardest. It is plain, tested arithmetic with no cleverness in it, and it produces the same answer every time it runs.</w:t>
      </w:r>
    </w:p>
    <w:p>
      <w:pPr>
        <w:pStyle w:val="Heading1"/>
        <w:pBdr>
          <w:bottom w:val="single" w:color="0E7490" w:sz="8" w:space="4"/>
        </w:pBdr>
        <w:spacing w:after="140" w:before="300"/>
      </w:pPr>
      <w:r>
        <w:rPr>
          <w:rFonts w:ascii="Calibri" w:cs="Calibri" w:eastAsia="Calibri" w:hAnsi="Calibri"/>
          <w:b/>
          <w:bCs/>
          <w:color w:val="0F2740"/>
          <w:sz w:val="26"/>
          <w:szCs w:val="26"/>
        </w:rPr>
        <w:t xml:space="preserve">3. The one design decision that matters</w:t>
      </w:r>
    </w:p>
    <w:p>
      <w:pPr>
        <w:spacing w:after="120" w:before="0" w:line="276"/>
      </w:pPr>
      <w:r>
        <w:rPr>
          <w:rFonts w:ascii="Calibri" w:cs="Calibri" w:eastAsia="Calibri" w:hAnsi="Calibri"/>
          <w:sz w:val="21"/>
          <w:szCs w:val="21"/>
        </w:rPr>
        <w:t xml:space="preserve">The AI never calculates anything.</w:t>
      </w:r>
    </w:p>
    <w:p>
      <w:pPr>
        <w:spacing w:after="120" w:before="0" w:line="276"/>
      </w:pPr>
      <w:r>
        <w:rPr>
          <w:rFonts w:ascii="Calibri" w:cs="Calibri" w:eastAsia="Calibri" w:hAnsi="Calibri"/>
          <w:sz w:val="21"/>
          <w:szCs w:val="21"/>
        </w:rPr>
        <w:t xml:space="preserve">That sounds like a limitation and it is meant to. A language model cannot be audited the way a formula can. You can re-derive an NPV by hand and check it; you cannot re-derive why a model produced a particular sentence. So we drew the line at the arithmetic. Every figure a director sees comes out of the deterministic engine. The AI reads those finished figures and explains them, argues with them, drafts a memorandum around them, or retrieves the document that justifies an assumption. It is never asked what a number should be.</w:t>
      </w:r>
    </w:p>
    <w:p>
      <w:pPr>
        <w:spacing w:after="120" w:before="0" w:line="276"/>
      </w:pPr>
      <w:r>
        <w:rPr>
          <w:rFonts w:ascii="Calibri" w:cs="Calibri" w:eastAsia="Calibri" w:hAnsi="Calibri"/>
          <w:sz w:val="21"/>
          <w:szCs w:val="21"/>
        </w:rPr>
        <w:t xml:space="preserve">The practical test is simple. Delete the API key and restart the application. Every financial result is identical. What you lose is the commentary, and each AI surface falls back to text derived from the same computed numbers. Nothing breaks and no figure moves.</w:t>
      </w:r>
    </w:p>
    <w:p>
      <w:pPr>
        <w:spacing w:after="120" w:before="0" w:line="276"/>
      </w:pPr>
      <w:r>
        <w:rPr>
          <w:rFonts w:ascii="Calibri" w:cs="Calibri" w:eastAsia="Calibri" w:hAnsi="Calibri"/>
          <w:sz w:val="21"/>
          <w:szCs w:val="21"/>
        </w:rPr>
        <w:t xml:space="preserve">There is a second reason this matters, and it is the more interesting one. Earlier in the build one of our own panels prompted the model to act as a real-time macroeconomic data agent, then published what came back as observed market data. Nothing was ever fetched. Every interest rate and utility tariff on that screen had been invented by the model and was being shown to a capital committee as fact. We found it, removed the generation step, and replaced it with values transcribed by hand from published sources, each carrying a citation and a date. The lesson was not that the model lied. It was that a well-built interface can make an invented number look exactly like a measured one, and we were the ones who built the interface.</w:t>
      </w:r>
    </w:p>
    <w:p>
      <w:pPr>
        <w:pStyle w:val="Heading1"/>
        <w:pBdr>
          <w:bottom w:val="single" w:color="0E7490" w:sz="8" w:space="4"/>
        </w:pBdr>
        <w:spacing w:after="140" w:before="300"/>
      </w:pPr>
      <w:r>
        <w:rPr>
          <w:rFonts w:ascii="Calibri" w:cs="Calibri" w:eastAsia="Calibri" w:hAnsi="Calibri"/>
          <w:b/>
          <w:bCs/>
          <w:color w:val="0F2740"/>
          <w:sz w:val="26"/>
          <w:szCs w:val="26"/>
        </w:rPr>
        <w:t xml:space="preserve">4. Signing in, and why the login screen exists</w:t>
      </w:r>
    </w:p>
    <w:p>
      <w:pPr>
        <w:spacing w:after="120" w:before="0" w:line="276"/>
      </w:pPr>
      <w:r>
        <w:rPr>
          <w:rFonts w:ascii="Calibri" w:cs="Calibri" w:eastAsia="Calibri" w:hAnsi="Calibri"/>
          <w:sz w:val="21"/>
          <w:szCs w:val="21"/>
        </w:rPr>
        <w:t xml:space="preserve">The application requires a sign-in. This started as a fix rather than a feature. There used to be a dropdown in the header labelled Executive Lens, and you could set yourself to CFO and read the funding structure. Nothing stopped you, because the only thing between a visitor and the numbers was a value held in the browser.</w:t>
      </w:r>
    </w:p>
    <w:p>
      <w:pPr>
        <w:spacing w:after="120" w:before="0" w:line="276"/>
      </w:pPr>
      <w:r>
        <w:rPr>
          <w:rFonts w:ascii="Calibri" w:cs="Calibri" w:eastAsia="Calibri" w:hAnsi="Calibri"/>
          <w:sz w:val="21"/>
          <w:szCs w:val="21"/>
        </w:rPr>
        <w:t xml:space="preserve">Now authority comes from a signed cookie the browser cannot read or edit, and it is checked at the edge before a page renders. Six roles map to twenty named permissions. A chief operating officer cannot reach the funding page by typing the URL. They get a refusal screen instead of a hidden menu item, which is the difference between hiding something and actually withholding it.</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1900"/>
        <w:gridCol w:w="2400"/>
        <w:gridCol w:w="5060"/>
      </w:tblGrid>
      <w:tr>
        <w:trPr>
          <w:cantSplit/>
          <w:tblHeader/>
        </w:trPr>
        <w:tc>
          <w:tcPr>
            <w:tcW w:type="dxa" w:w="19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Sign in as</w:t>
            </w:r>
          </w:p>
        </w:tc>
        <w:tc>
          <w:tcPr>
            <w:tcW w:type="dxa" w:w="24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Password</w:t>
            </w:r>
          </w:p>
        </w:tc>
        <w:tc>
          <w:tcPr>
            <w:tcW w:type="dxa" w:w="50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Sees</w:t>
            </w:r>
          </w:p>
        </w:tc>
      </w:tr>
      <w:tr>
        <w:trPr>
          <w:cantSplit/>
          <w:tblHeader w:val="false"/>
        </w:trPr>
        <w:tc>
          <w:tcPr>
            <w:tcW w:type="dxa" w:w="19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cfo@novaretail.example</w:t>
            </w:r>
          </w:p>
        </w:tc>
        <w:tc>
          <w:tcPr>
            <w:tcW w:type="dxa" w:w="24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cfo-capex-2026</w:t>
            </w:r>
          </w:p>
        </w:tc>
        <w:tc>
          <w:tcPr>
            <w:tcW w:type="dxa" w:w="50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Almost everything. Use this one for the demo.</w:t>
            </w:r>
          </w:p>
        </w:tc>
      </w:tr>
      <w:tr>
        <w:trPr>
          <w:cantSplit/>
          <w:tblHeader w:val="false"/>
        </w:trPr>
        <w:tc>
          <w:tcPr>
            <w:tcW w:type="dxa" w:w="19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ceo@novaretail.example</w:t>
            </w:r>
          </w:p>
        </w:tc>
        <w:tc>
          <w:tcPr>
            <w:tcW w:type="dxa" w:w="24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ceo-capex-2026</w:t>
            </w:r>
          </w:p>
        </w:tc>
        <w:tc>
          <w:tcPr>
            <w:tcW w:type="dxa" w:w="50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Headline position, board papers, signing authority. No cash-flow schedule.</w:t>
            </w:r>
          </w:p>
        </w:tc>
      </w:tr>
      <w:tr>
        <w:trPr>
          <w:cantSplit/>
          <w:tblHeader w:val="false"/>
        </w:trPr>
        <w:tc>
          <w:tcPr>
            <w:tcW w:type="dxa" w:w="19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coo@novaretail.example</w:t>
            </w:r>
          </w:p>
        </w:tc>
        <w:tc>
          <w:tcPr>
            <w:tcW w:type="dxa" w:w="24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coo-capex-2026</w:t>
            </w:r>
          </w:p>
        </w:tc>
        <w:tc>
          <w:tcPr>
            <w:tcW w:type="dxa" w:w="50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Operations and vendors. No funding, no approvals.</w:t>
            </w:r>
          </w:p>
        </w:tc>
      </w:tr>
      <w:tr>
        <w:trPr>
          <w:cantSplit/>
          <w:tblHeader w:val="false"/>
        </w:trPr>
        <w:tc>
          <w:tcPr>
            <w:tcW w:type="dxa" w:w="19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analyst@novaretail.example</w:t>
            </w:r>
          </w:p>
        </w:tc>
        <w:tc>
          <w:tcPr>
            <w:tcW w:type="dxa" w:w="24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analyst-capex-2026</w:t>
            </w:r>
          </w:p>
        </w:tc>
        <w:tc>
          <w:tcPr>
            <w:tcW w:type="dxa" w:w="50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Deepest modelling access, including edit rights. Cannot sign anything off.</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 passwords are published in the repository on purpose. They are seeded demonstration accounts and treating them as secrets would be theatre.</w:t>
      </w:r>
    </w:p>
    <w:p>
      <w:pPr>
        <w:pStyle w:val="Heading1"/>
        <w:pBdr>
          <w:bottom w:val="single" w:color="0E7490" w:sz="8" w:space="4"/>
        </w:pBdr>
        <w:spacing w:after="140" w:before="300"/>
      </w:pPr>
      <w:r>
        <w:rPr>
          <w:rFonts w:ascii="Calibri" w:cs="Calibri" w:eastAsia="Calibri" w:hAnsi="Calibri"/>
          <w:b/>
          <w:bCs/>
          <w:color w:val="0F2740"/>
          <w:sz w:val="26"/>
          <w:szCs w:val="26"/>
        </w:rPr>
        <w:t xml:space="preserve">5. The modules</w:t>
      </w:r>
    </w:p>
    <w:p>
      <w:pPr>
        <w:spacing w:after="120" w:before="0" w:line="276"/>
      </w:pPr>
      <w:r>
        <w:rPr>
          <w:rFonts w:ascii="Calibri" w:cs="Calibri" w:eastAsia="Calibri" w:hAnsi="Calibri"/>
          <w:sz w:val="21"/>
          <w:szCs w:val="21"/>
        </w:rPr>
        <w:t xml:space="preserve">The sidebar groups every screen into five sections. What follows is what each one is for, and which of them you should actually open during a demo.</w:t>
      </w:r>
    </w:p>
    <w:p>
      <w:pPr>
        <w:pStyle w:val="Heading2"/>
        <w:spacing w:after="80" w:before="200"/>
      </w:pPr>
      <w:r>
        <w:rPr>
          <w:rFonts w:ascii="Calibri" w:cs="Calibri" w:eastAsia="Calibri" w:hAnsi="Calibri"/>
          <w:b/>
          <w:bCs/>
          <w:color w:val="0E7490"/>
          <w:sz w:val="22"/>
          <w:szCs w:val="22"/>
        </w:rPr>
        <w:t xml:space="preserve">Decision</w:t>
      </w:r>
    </w:p>
    <w:p>
      <w:pPr>
        <w:spacing w:after="120" w:before="0" w:line="276"/>
      </w:pPr>
      <w:r>
        <w:rPr>
          <w:rFonts w:ascii="Calibri" w:cs="Calibri" w:eastAsia="Calibri" w:hAnsi="Calibri"/>
          <w:sz w:val="21"/>
          <w:szCs w:val="21"/>
        </w:rPr>
        <w:t xml:space="preserve">The executive dashboard is the screen the brief cares about most, because it carries all six required components in one place: the key-figure cards, the annual cash-flow chart with a cumulative line crossing zero in year four, the three-scenario comparison, a link through to the sensitivity work, the ranked risk panel, and the AI advisory panel.</w:t>
      </w:r>
    </w:p>
    <w:p>
      <w:pPr>
        <w:spacing w:after="120" w:before="0" w:line="276"/>
      </w:pPr>
      <w:r>
        <w:rPr>
          <w:rFonts w:ascii="Calibri" w:cs="Calibri" w:eastAsia="Calibri" w:hAnsi="Calibri"/>
          <w:sz w:val="21"/>
          <w:szCs w:val="21"/>
        </w:rPr>
        <w:t xml:space="preserve">That last panel is worth a specific mention. It calls the advisory route and shows a badge saying whether you are reading a model response or the deterministic fallback. Switch the scenario selector to Pessimistic and the panel changes its verdict to Reject and says the proposal destroys shareholder value. An earlier version of this panel was a fixed sentence that claimed a strong financial return no matter what the numbers did, which is exactly the failure we spend the ethics section warning about.</w:t>
      </w:r>
    </w:p>
    <w:p>
      <w:pPr>
        <w:spacing w:after="120" w:before="0" w:line="276"/>
      </w:pPr>
      <w:r>
        <w:rPr>
          <w:rFonts w:ascii="Calibri" w:cs="Calibri" w:eastAsia="Calibri" w:hAnsi="Calibri"/>
          <w:sz w:val="21"/>
          <w:szCs w:val="21"/>
        </w:rPr>
        <w:t xml:space="preserve">The rest of the section covers the approval workflow, the board memorandum with its audit hash, the multi-agent board debate, and a full-screen presentation mode.</w:t>
      </w:r>
    </w:p>
    <w:p>
      <w:pPr>
        <w:pStyle w:val="Heading2"/>
        <w:spacing w:after="80" w:before="200"/>
      </w:pPr>
      <w:r>
        <w:rPr>
          <w:rFonts w:ascii="Calibri" w:cs="Calibri" w:eastAsia="Calibri" w:hAnsi="Calibri"/>
          <w:b/>
          <w:bCs/>
          <w:color w:val="0E7490"/>
          <w:sz w:val="22"/>
          <w:szCs w:val="22"/>
        </w:rPr>
        <w:t xml:space="preserve">Model</w:t>
      </w:r>
    </w:p>
    <w:p>
      <w:pPr>
        <w:spacing w:after="120" w:before="0" w:line="276"/>
      </w:pPr>
      <w:r>
        <w:rPr>
          <w:rFonts w:ascii="Calibri" w:cs="Calibri" w:eastAsia="Calibri" w:hAnsi="Calibri"/>
          <w:sz w:val="21"/>
          <w:szCs w:val="21"/>
        </w:rPr>
        <w:t xml:space="preserve">The financial model screen is the six-year schedule: benefits, costs, depreciation, tax, working capital and terminal value, laid out year by year. The assumptions register is next to it and lists every input with a source and a classification.</w:t>
      </w:r>
    </w:p>
    <w:p>
      <w:pPr>
        <w:spacing w:after="120" w:before="0" w:line="276"/>
      </w:pPr>
      <w:r>
        <w:rPr>
          <w:rFonts w:ascii="Calibri" w:cs="Calibri" w:eastAsia="Calibri" w:hAnsi="Calibri"/>
          <w:sz w:val="21"/>
          <w:szCs w:val="21"/>
        </w:rPr>
        <w:t xml:space="preserve">The classification is a brief requirement and it is worth pointing at during the demo. Every input is tagged as historical, current external, forecast, user-entered or AI-generated. The last of those has exactly one entry, a reskilling provision the model proposed and we accepted, and it is labelled that way so nobody has to guess which numbers carry model provenance.</w:t>
      </w:r>
    </w:p>
    <w:p>
      <w:pPr>
        <w:spacing w:after="120" w:before="0" w:line="276"/>
      </w:pPr>
      <w:r>
        <w:rPr>
          <w:rFonts w:ascii="Calibri" w:cs="Calibri" w:eastAsia="Calibri" w:hAnsi="Calibri"/>
          <w:sz w:val="21"/>
          <w:szCs w:val="21"/>
        </w:rPr>
        <w:t xml:space="preserve">The capacity model is where the most important assumption gets built rather than asserted. The whole case rests on 7.5 million dirhams of first-year savings, so the screen derives it: 75.2 manual full-time equivalents against 8.3 automated, 66.9 displaced, at a loaded annual cost of 112,000 dirhams. That comes to 7,491,556, which is a tenth of a percent off the forecast. If someone attacks one number in the presentation, it will be this one.</w:t>
      </w:r>
    </w:p>
    <w:p>
      <w:pPr>
        <w:pStyle w:val="Heading2"/>
        <w:spacing w:after="80" w:before="200"/>
      </w:pPr>
      <w:r>
        <w:rPr>
          <w:rFonts w:ascii="Calibri" w:cs="Calibri" w:eastAsia="Calibri" w:hAnsi="Calibri"/>
          <w:b/>
          <w:bCs/>
          <w:color w:val="0E7490"/>
          <w:sz w:val="22"/>
          <w:szCs w:val="22"/>
        </w:rPr>
        <w:t xml:space="preserve">Risk and scenarios</w:t>
      </w:r>
    </w:p>
    <w:p>
      <w:pPr>
        <w:spacing w:after="120" w:before="0" w:line="276"/>
      </w:pPr>
      <w:r>
        <w:rPr>
          <w:rFonts w:ascii="Calibri" w:cs="Calibri" w:eastAsia="Calibri" w:hAnsi="Calibri"/>
          <w:sz w:val="21"/>
          <w:szCs w:val="21"/>
        </w:rPr>
        <w:t xml:space="preserve">Three scenarios, defined by multipliers rather than by retyping the model. Optimistic takes benefits up ten percent and the discount rate down to 10.5. Pessimistic cuts benefits by a quarter, adds fifteen percent to costs and pushes the rate to 14.5.</w:t>
      </w:r>
    </w:p>
    <w:p>
      <w:pPr>
        <w:spacing w:after="120" w:before="0" w:line="276"/>
      </w:pPr>
      <w:r>
        <w:rPr>
          <w:rFonts w:ascii="Calibri" w:cs="Calibri" w:eastAsia="Calibri" w:hAnsi="Calibri"/>
          <w:sz w:val="21"/>
          <w:szCs w:val="21"/>
        </w:rPr>
        <w:t xml:space="preserve">The sensitivity screen flexes every driver by the same twenty percent so the bars are actually comparable, which the earlier version did not do. Monte Carlo runs five thousand iterations from a seeded generator, so it gives the same distribution every time rather than a slightly different one on each visit. It now runs on a background thread; before that it froze the tab for half a second at five thousand iterations and two and a half seconds at twenty-five thousand.</w:t>
      </w:r>
    </w:p>
    <w:p>
      <w:pPr>
        <w:spacing w:after="120" w:before="0" w:line="276"/>
      </w:pPr>
      <w:r>
        <w:rPr>
          <w:rFonts w:ascii="Calibri" w:cs="Calibri" w:eastAsia="Calibri" w:hAnsi="Calibri"/>
          <w:sz w:val="21"/>
          <w:szCs w:val="21"/>
        </w:rPr>
        <w:t xml:space="preserve">Decision intelligence is the newest screen and probably the most useful one. It answers why a number moved rather than that it moved. Switch between Base and Pessimistic and it decomposes the swing driver by driver, and the parts add up exactly to the whole with nothing left over. It also fits a growth rate to observed spending instead of assuming one, screens the inputs for implausible values before the engine ever sees them, and states which decision rule should govern the comparison you are actually making.</w:t>
      </w:r>
    </w:p>
    <w:p>
      <w:pPr>
        <w:pStyle w:val="Heading2"/>
        <w:spacing w:after="80" w:before="200"/>
      </w:pPr>
      <w:r>
        <w:rPr>
          <w:rFonts w:ascii="Calibri" w:cs="Calibri" w:eastAsia="Calibri" w:hAnsi="Calibri"/>
          <w:b/>
          <w:bCs/>
          <w:color w:val="0E7490"/>
          <w:sz w:val="22"/>
          <w:szCs w:val="22"/>
        </w:rPr>
        <w:t xml:space="preserve">Portfolio and operations</w:t>
      </w:r>
    </w:p>
    <w:p>
      <w:pPr>
        <w:spacing w:after="120" w:before="0" w:line="276"/>
      </w:pPr>
      <w:r>
        <w:rPr>
          <w:rFonts w:ascii="Calibri" w:cs="Calibri" w:eastAsia="Calibri" w:hAnsi="Calibri"/>
          <w:sz w:val="21"/>
          <w:szCs w:val="21"/>
        </w:rPr>
        <w:t xml:space="preserve">The portfolio optimiser solves a 0-1 knapsack problem: given a fixed budget and a set of competing projects, which subset maximises value. This is the screen that demonstrates why profitability index matters, because ranking by raw NPV under a binding budget can leave you worse off than picking smaller, denser projects.</w:t>
      </w:r>
    </w:p>
    <w:p>
      <w:pPr>
        <w:spacing w:after="120" w:before="0" w:line="276"/>
      </w:pPr>
      <w:r>
        <w:rPr>
          <w:rFonts w:ascii="Calibri" w:cs="Calibri" w:eastAsia="Calibri" w:hAnsi="Calibri"/>
          <w:sz w:val="21"/>
          <w:szCs w:val="21"/>
        </w:rPr>
        <w:t xml:space="preserve">Also here: the strategic scorecard, delivery analytics, a DEWA tariff estimator built on the published 2026 slab rates, vendor comparison, an RFP negotiator, benefits tracking and the implementation gates.</w:t>
      </w:r>
    </w:p>
    <w:p>
      <w:pPr>
        <w:spacing w:after="120" w:before="0" w:line="276"/>
      </w:pPr>
      <w:r>
        <w:rPr>
          <w:rFonts w:ascii="Calibri" w:cs="Calibri" w:eastAsia="Calibri" w:hAnsi="Calibri"/>
          <w:sz w:val="21"/>
          <w:szCs w:val="21"/>
        </w:rPr>
        <w:t xml:space="preserve">One honest note about the vendor screen. Dematic, Swisslog, Knapp and AutoStore are real companies and we never asked any of them for a quotation. The figures are our own estimates built to exercise the comparison, and the screen says so in a warning panel. Naming a real supplier next to a specific price implies a source we do not have.</w:t>
      </w:r>
    </w:p>
    <w:p>
      <w:pPr>
        <w:pStyle w:val="Heading2"/>
        <w:spacing w:after="80" w:before="200"/>
      </w:pPr>
      <w:r>
        <w:rPr>
          <w:rFonts w:ascii="Calibri" w:cs="Calibri" w:eastAsia="Calibri" w:hAnsi="Calibri"/>
          <w:b/>
          <w:bCs/>
          <w:color w:val="0E7490"/>
          <w:sz w:val="22"/>
          <w:szCs w:val="22"/>
        </w:rPr>
        <w:t xml:space="preserve">Intelligence and data</w:t>
      </w:r>
    </w:p>
    <w:p>
      <w:pPr>
        <w:spacing w:after="120" w:before="0" w:line="276"/>
      </w:pPr>
      <w:r>
        <w:rPr>
          <w:rFonts w:ascii="Calibri" w:cs="Calibri" w:eastAsia="Calibri" w:hAnsi="Calibri"/>
          <w:sz w:val="21"/>
          <w:szCs w:val="21"/>
        </w:rPr>
        <w:t xml:space="preserve">The finance assistant answers questions about the model in plain language. It retrieves the relevant passages from the project documentation before answering, so every claim comes back with a numbered citation you can expand to see the source text. Ninety passages, built from the methodology, the assumptions register and the scenario definitions. The retrieval combines keyword matching with vector similarity and fuses the two rankings, and if the embedding service is unavailable it quietly falls back to keyword matching alone.</w:t>
      </w:r>
    </w:p>
    <w:p>
      <w:pPr>
        <w:spacing w:after="120" w:before="0" w:line="276"/>
      </w:pPr>
      <w:r>
        <w:rPr>
          <w:rFonts w:ascii="Calibri" w:cs="Calibri" w:eastAsia="Calibri" w:hAnsi="Calibri"/>
          <w:sz w:val="21"/>
          <w:szCs w:val="21"/>
        </w:rPr>
        <w:t xml:space="preserve">The AI studio exercises all twelve routes with provenance badges. The data and methodology screen lists sources. The CSV import screen handles vendor quotations and has formula-injection defences on the parser.</w:t>
      </w:r>
    </w:p>
    <w:p>
      <w:pPr>
        <w:pStyle w:val="Heading1"/>
        <w:pBdr>
          <w:bottom w:val="single" w:color="0E7490" w:sz="8" w:space="4"/>
        </w:pBdr>
        <w:spacing w:after="140" w:before="300"/>
      </w:pPr>
      <w:r>
        <w:rPr>
          <w:rFonts w:ascii="Calibri" w:cs="Calibri" w:eastAsia="Calibri" w:hAnsi="Calibri"/>
          <w:b/>
          <w:bCs/>
          <w:color w:val="0F2740"/>
          <w:sz w:val="26"/>
          <w:szCs w:val="26"/>
        </w:rPr>
        <w:t xml:space="preserve">6. The numbers, and why they do not drift</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3200"/>
        <w:gridCol w:w="2200"/>
        <w:gridCol w:w="3960"/>
      </w:tblGrid>
      <w:tr>
        <w:trPr>
          <w:cantSplit/>
          <w:tblHeader/>
        </w:trPr>
        <w:tc>
          <w:tcPr>
            <w:tcW w:type="dxa" w:w="32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Measure</w:t>
            </w:r>
          </w:p>
        </w:tc>
        <w:tc>
          <w:tcPr>
            <w:tcW w:type="dxa" w:w="2200"/>
            <w:shd w:fill="0F2740" w:color="auto" w:val="clear"/>
            <w:tcMar>
              <w:top w:type="dxa" w:w="60"/>
              <w:left w:type="dxa" w:w="90"/>
              <w:bottom w:type="dxa" w:w="60"/>
              <w:right w:type="dxa" w:w="90"/>
            </w:tcMar>
          </w:tcPr>
          <w:p>
            <w:pPr>
              <w:spacing w:after="0" w:before="0" w:line="250"/>
              <w:jc w:val="right"/>
            </w:pPr>
            <w:r>
              <w:rPr>
                <w:rFonts w:ascii="Calibri" w:cs="Calibri" w:eastAsia="Calibri" w:hAnsi="Calibri"/>
                <w:b/>
                <w:bCs/>
                <w:color w:val="FFFFFF"/>
                <w:sz w:val="17"/>
                <w:szCs w:val="17"/>
              </w:rPr>
              <w:t xml:space="preserve">Base case</w:t>
            </w:r>
          </w:p>
        </w:tc>
        <w:tc>
          <w:tcPr>
            <w:tcW w:type="dxa" w:w="39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7"/>
                <w:szCs w:val="17"/>
              </w:rPr>
              <w:t xml:space="preserve">Reading</w:t>
            </w:r>
          </w:p>
        </w:tc>
      </w:tr>
      <w:tr>
        <w:trPr>
          <w:cantSplit/>
          <w:tblHeader w:val="false"/>
        </w:trPr>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Net present value at 11.50%</w:t>
            </w:r>
          </w:p>
        </w:tc>
        <w:tc>
          <w:tcPr>
            <w:tcW w:type="dxa" w:w="22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AED 12,083,628</w:t>
            </w:r>
          </w:p>
        </w:tc>
        <w:tc>
          <w:tcPr>
            <w:tcW w:type="dxa" w:w="39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Creates value after paying for capital</w:t>
            </w:r>
          </w:p>
        </w:tc>
      </w:tr>
      <w:tr>
        <w:trPr>
          <w:cantSplit/>
          <w:tblHeader w:val="false"/>
        </w:trPr>
        <w:tc>
          <w:tcPr>
            <w:tcW w:type="dxa" w:w="3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Internal rate of return</w:t>
            </w:r>
          </w:p>
        </w:tc>
        <w:tc>
          <w:tcPr>
            <w:tcW w:type="dxa" w:w="22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26.30%</w:t>
            </w:r>
          </w:p>
        </w:tc>
        <w:tc>
          <w:tcPr>
            <w:tcW w:type="dxa" w:w="39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14.8 points of headroom over the hurdle</w:t>
            </w:r>
          </w:p>
        </w:tc>
      </w:tr>
      <w:tr>
        <w:trPr>
          <w:cantSplit/>
          <w:tblHeader w:val="false"/>
        </w:trPr>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Modified IRR</w:t>
            </w:r>
          </w:p>
        </w:tc>
        <w:tc>
          <w:tcPr>
            <w:tcW w:type="dxa" w:w="22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19.34%</w:t>
            </w:r>
          </w:p>
        </w:tc>
        <w:tc>
          <w:tcPr>
            <w:tcW w:type="dxa" w:w="39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Reinvests at the cost of capital, which is the realistic assumption</w:t>
            </w:r>
          </w:p>
        </w:tc>
      </w:tr>
      <w:tr>
        <w:trPr>
          <w:cantSplit/>
          <w:tblHeader w:val="false"/>
        </w:trPr>
        <w:tc>
          <w:tcPr>
            <w:tcW w:type="dxa" w:w="3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Profitability index</w:t>
            </w:r>
          </w:p>
        </w:tc>
        <w:tc>
          <w:tcPr>
            <w:tcW w:type="dxa" w:w="22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1.5035</w:t>
            </w:r>
          </w:p>
        </w:tc>
        <w:tc>
          <w:tcPr>
            <w:tcW w:type="dxa" w:w="39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AED 1.50 of present value per dirham committed</w:t>
            </w:r>
          </w:p>
        </w:tc>
      </w:tr>
      <w:tr>
        <w:trPr>
          <w:cantSplit/>
          <w:tblHeader w:val="false"/>
        </w:trPr>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Payback</w:t>
            </w:r>
          </w:p>
        </w:tc>
        <w:tc>
          <w:tcPr>
            <w:tcW w:type="dxa" w:w="2200"/>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3.10 years</w:t>
            </w:r>
          </w:p>
        </w:tc>
        <w:tc>
          <w:tcPr>
            <w:tcW w:type="dxa" w:w="3960"/>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Discounted, 3.98 years</w:t>
            </w:r>
          </w:p>
        </w:tc>
      </w:tr>
      <w:tr>
        <w:trPr>
          <w:cantSplit/>
          <w:tblHeader w:val="false"/>
        </w:trPr>
        <w:tc>
          <w:tcPr>
            <w:tcW w:type="dxa" w:w="3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Engine verdict</w:t>
            </w:r>
          </w:p>
        </w:tc>
        <w:tc>
          <w:tcPr>
            <w:tcW w:type="dxa" w:w="2200"/>
            <w:shd w:fill="EEF3F8" w:color="auto" w:val="clear"/>
            <w:tcMar>
              <w:top w:type="dxa" w:w="60"/>
              <w:left w:type="dxa" w:w="90"/>
              <w:bottom w:type="dxa" w:w="60"/>
              <w:right w:type="dxa" w:w="90"/>
            </w:tcMar>
          </w:tcPr>
          <w:p>
            <w:pPr>
              <w:spacing w:after="0" w:before="0" w:line="250"/>
              <w:jc w:val="right"/>
            </w:pPr>
            <w:r>
              <w:rPr>
                <w:rFonts w:ascii="Calibri" w:cs="Calibri" w:eastAsia="Calibri" w:hAnsi="Calibri"/>
                <w:color w:val="1F2937"/>
                <w:sz w:val="17"/>
                <w:szCs w:val="17"/>
              </w:rPr>
              <w:t xml:space="preserve">Approve</w:t>
            </w:r>
          </w:p>
        </w:tc>
        <w:tc>
          <w:tcPr>
            <w:tcW w:type="dxa" w:w="39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7"/>
                <w:szCs w:val="17"/>
              </w:rPr>
              <w:t xml:space="preserve">Pessimistic case returns Reject</w:t>
            </w:r>
          </w:p>
        </w:tc>
      </w:tr>
    </w:tbl>
    <w:p>
      <w:pPr>
        <w:spacing w:after="10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These figures are pinned by a regression test. If someone changes the engine and the base case moves, the build fails rather than quietly invalidating the report and the deck. That test is the reason we can say the documents and the running application agree, instead of hoping they do.</w:t>
      </w:r>
    </w:p>
    <w:p>
      <w:pPr>
        <w:spacing w:after="120" w:before="0" w:line="276"/>
      </w:pPr>
      <w:r>
        <w:rPr>
          <w:rFonts w:ascii="Calibri" w:cs="Calibri" w:eastAsia="Calibri" w:hAnsi="Calibri"/>
          <w:sz w:val="21"/>
          <w:szCs w:val="21"/>
        </w:rPr>
        <w:t xml:space="preserve">The hurdle rate is built, not chosen. Cost of equity is 4.20 percent risk-free, plus a beta of 1.15 against a 6 percent equity risk premium, plus 0.75 for UAE country risk, plus 3.5 points of execution premium because this is first-of-kind robotics for this company. That gives 15.35. Debt is EIBOR at 3.79 plus a 2.5 spread, so 6.29 before tax and 5.72 after. Weight those sixty-forty and you get 11.50 percent. Earlier versions of this project quoted a hurdle rate that could not be derived from any stated inputs, which is the kind of thing an examiner finds in about ninety seconds.</w:t>
      </w:r>
    </w:p>
    <w:p>
      <w:pPr>
        <w:pStyle w:val="Heading1"/>
        <w:pBdr>
          <w:bottom w:val="single" w:color="0E7490" w:sz="8" w:space="4"/>
        </w:pBdr>
        <w:spacing w:after="140" w:before="300"/>
      </w:pPr>
      <w:r>
        <w:rPr>
          <w:rFonts w:ascii="Calibri" w:cs="Calibri" w:eastAsia="Calibri" w:hAnsi="Calibri"/>
          <w:b/>
          <w:bCs/>
          <w:color w:val="0F2740"/>
          <w:sz w:val="26"/>
          <w:szCs w:val="26"/>
        </w:rPr>
        <w:t xml:space="preserve">7. What the AI does, and what it is not allowed to do</w:t>
      </w:r>
    </w:p>
    <w:p>
      <w:pPr>
        <w:spacing w:after="120" w:before="0" w:line="276"/>
      </w:pPr>
      <w:r>
        <w:rPr>
          <w:rFonts w:ascii="Calibri" w:cs="Calibri" w:eastAsia="Calibri" w:hAnsi="Calibri"/>
          <w:sz w:val="21"/>
          <w:szCs w:val="21"/>
        </w:rPr>
        <w:t xml:space="preserve">Sixteen capabilities are documented in the individual report against the five points the brief asks for. In the application they are twelve route handlers. The ones worth demonstrating are the retrieval-grounded assistant, the advisory panel on the dashboard, the driver attribution on the decision intelligence screen, and the board debate, which simulates a CFO, a COO, a risk officer and a sceptical non-executive arguing the case.</w:t>
      </w:r>
    </w:p>
    <w:p>
      <w:pPr>
        <w:spacing w:after="120" w:before="0" w:line="276"/>
      </w:pPr>
      <w:r>
        <w:rPr>
          <w:rFonts w:ascii="Calibri" w:cs="Calibri" w:eastAsia="Calibri" w:hAnsi="Calibri"/>
          <w:sz w:val="21"/>
          <w:szCs w:val="21"/>
        </w:rPr>
        <w:t xml:space="preserve">Every route has three limits on it. The response length is capped, sized per route from 300 tokens for a voice command to 1,500 for a full memorandum. Requests time out after thirty seconds. And the request body is screened before anything reaches the provider, both for size and for text trying to override the instructions.</w:t>
      </w:r>
    </w:p>
    <w:p>
      <w:pPr>
        <w:spacing w:after="120" w:before="0" w:line="276"/>
      </w:pPr>
      <w:r>
        <w:rPr>
          <w:rFonts w:ascii="Calibri" w:cs="Calibri" w:eastAsia="Calibri" w:hAnsi="Calibri"/>
          <w:sz w:val="21"/>
          <w:szCs w:val="21"/>
        </w:rPr>
        <w:t xml:space="preserve">The board debate is the one to be careful about in the talk. It manufactures the challenge a single author cannot supply, and it is genuinely useful for that. It is not real governance and we should not claim it is. Four simulated executives disagreeing is a writing aid.</w:t>
      </w:r>
    </w:p>
    <w:p>
      <w:pPr>
        <w:pStyle w:val="Heading1"/>
        <w:pBdr>
          <w:bottom w:val="single" w:color="0E7490" w:sz="8" w:space="4"/>
        </w:pBdr>
        <w:spacing w:after="140" w:before="300"/>
      </w:pPr>
      <w:r>
        <w:rPr>
          <w:rFonts w:ascii="Calibri" w:cs="Calibri" w:eastAsia="Calibri" w:hAnsi="Calibri"/>
          <w:b/>
          <w:bCs/>
          <w:color w:val="0F2740"/>
          <w:sz w:val="26"/>
          <w:szCs w:val="26"/>
        </w:rPr>
        <w:t xml:space="preserve">8. How we know it works</w:t>
      </w:r>
    </w:p>
    <w:p>
      <w:pPr>
        <w:spacing w:after="120" w:before="0" w:line="276"/>
      </w:pPr>
      <w:r>
        <w:rPr>
          <w:rFonts w:ascii="Calibri" w:cs="Calibri" w:eastAsia="Calibri" w:hAnsi="Calibri"/>
          <w:sz w:val="21"/>
          <w:szCs w:val="21"/>
        </w:rPr>
        <w:t xml:space="preserve">Twenty-one unit test files, 205 cases. Eleven browser tests that drive the real application, including one that signs in as a COO and confirms the funding page is refused. The build runs type checking, linting, the tests and a production compile, and it fails on any of them.</w:t>
      </w:r>
    </w:p>
    <w:p>
      <w:pPr>
        <w:spacing w:after="120" w:before="0" w:line="276"/>
      </w:pPr>
      <w:r>
        <w:rPr>
          <w:rFonts w:ascii="Calibri" w:cs="Calibri" w:eastAsia="Calibri" w:hAnsi="Calibri"/>
          <w:sz w:val="21"/>
          <w:szCs w:val="21"/>
        </w:rPr>
        <w:t xml:space="preserve">Two of those suites exist because of specific mistakes. One walks the AI route directory and fails if any route ships without a spending cap, so a new route cannot quietly become an open cheque. Another pins the base-case figures. A third proves that signing out actually invalidates the session rather than just clearing the cookie in one browser.</w:t>
      </w:r>
    </w:p>
    <w:p>
      <w:r>
        <w:br w:type="page"/>
      </w:r>
    </w:p>
    <w:p>
      <w:pPr>
        <w:pStyle w:val="Heading1"/>
        <w:pBdr>
          <w:bottom w:val="single" w:color="0E7490" w:sz="8" w:space="4"/>
        </w:pBdr>
        <w:spacing w:after="140" w:before="300"/>
      </w:pPr>
      <w:r>
        <w:rPr>
          <w:rFonts w:ascii="Calibri" w:cs="Calibri" w:eastAsia="Calibri" w:hAnsi="Calibri"/>
          <w:b/>
          <w:bCs/>
          <w:color w:val="0F2740"/>
          <w:sz w:val="26"/>
          <w:szCs w:val="26"/>
        </w:rPr>
        <w:t xml:space="preserve">9. The presentation</w:t>
      </w:r>
    </w:p>
    <w:p>
      <w:pPr>
        <w:spacing w:after="120" w:before="0" w:line="276"/>
      </w:pPr>
      <w:r>
        <w:rPr>
          <w:rFonts w:ascii="Calibri" w:cs="Calibri" w:eastAsia="Calibri" w:hAnsi="Calibri"/>
          <w:sz w:val="21"/>
          <w:szCs w:val="21"/>
        </w:rPr>
        <w:t xml:space="preserve">Seven speakers, two slides each, fourteen slides. The timings below add up to about thirteen and a half minutes, which leaves room in a fifteen-minute slot for a slow start and one question at a handover. Every speaker ends by naming the next person, so there are no silent gaps while someone finds the clicker.</w:t>
      </w:r>
    </w:p>
    <w:p>
      <w:pPr>
        <w:spacing w:after="120" w:before="0" w:line="276"/>
      </w:pPr>
      <w:r>
        <w:rPr>
          <w:rFonts w:ascii="Calibri" w:cs="Calibri" w:eastAsia="Calibri" w:hAnsi="Calibri"/>
          <w:sz w:val="21"/>
          <w:szCs w:val="21"/>
        </w:rPr>
        <w:t xml:space="preserve">Read your own part aloud twice before the day. Not to memorise it, but so the numbers come out of your mouth without you having to look at them.</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1500"/>
        <w:gridCol w:w="1200"/>
        <w:gridCol w:w="3200"/>
        <w:gridCol w:w="3460"/>
      </w:tblGrid>
      <w:tr>
        <w:trPr>
          <w:cantSplit/>
          <w:tblHeader/>
        </w:trPr>
        <w:tc>
          <w:tcPr>
            <w:tcW w:type="dxa" w:w="15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Speaker</w:t>
            </w:r>
          </w:p>
        </w:tc>
        <w:tc>
          <w:tcPr>
            <w:tcW w:type="dxa" w:w="12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Slides</w:t>
            </w:r>
          </w:p>
        </w:tc>
        <w:tc>
          <w:tcPr>
            <w:tcW w:type="dxa" w:w="32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Covers</w:t>
            </w:r>
          </w:p>
        </w:tc>
        <w:tc>
          <w:tcPr>
            <w:tcW w:type="dxa" w:w="34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Time</w:t>
            </w:r>
          </w:p>
        </w:tc>
      </w:tr>
      <w:tr>
        <w:trPr>
          <w:cantSplit/>
          <w:tblHeader w:val="false"/>
        </w:trPr>
        <w:tc>
          <w:tcPr>
            <w:tcW w:type="dxa" w:w="15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Krishna Mathur</w:t>
            </w:r>
          </w:p>
        </w:tc>
        <w:tc>
          <w:tcPr>
            <w:tcW w:type="dxa" w:w="1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1 and 2</w:t>
            </w:r>
          </w:p>
        </w:tc>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Opening and the decision</w:t>
            </w:r>
          </w:p>
        </w:tc>
        <w:tc>
          <w:tcPr>
            <w:tcW w:type="dxa" w:w="34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2 min 00</w:t>
            </w:r>
          </w:p>
        </w:tc>
      </w:tr>
      <w:tr>
        <w:trPr>
          <w:cantSplit/>
          <w:tblHeader w:val="false"/>
        </w:trPr>
        <w:tc>
          <w:tcPr>
            <w:tcW w:type="dxa" w:w="15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Neel Kapadia</w:t>
            </w:r>
          </w:p>
        </w:tc>
        <w:tc>
          <w:tcPr>
            <w:tcW w:type="dxa" w:w="1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3 and 4</w:t>
            </w:r>
          </w:p>
        </w:tc>
        <w:tc>
          <w:tcPr>
            <w:tcW w:type="dxa" w:w="3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Method, data and the hurdle rate</w:t>
            </w:r>
          </w:p>
        </w:tc>
        <w:tc>
          <w:tcPr>
            <w:tcW w:type="dxa" w:w="34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2 min 00</w:t>
            </w:r>
          </w:p>
        </w:tc>
      </w:tr>
      <w:tr>
        <w:trPr>
          <w:cantSplit/>
          <w:tblHeader w:val="false"/>
        </w:trPr>
        <w:tc>
          <w:tcPr>
            <w:tcW w:type="dxa" w:w="15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Yash Petkar</w:t>
            </w:r>
          </w:p>
        </w:tc>
        <w:tc>
          <w:tcPr>
            <w:tcW w:type="dxa" w:w="1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5 and 6</w:t>
            </w:r>
          </w:p>
        </w:tc>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Cash flow and the verdict</w:t>
            </w:r>
          </w:p>
        </w:tc>
        <w:tc>
          <w:tcPr>
            <w:tcW w:type="dxa" w:w="34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1 min 45</w:t>
            </w:r>
          </w:p>
        </w:tc>
      </w:tr>
      <w:tr>
        <w:trPr>
          <w:cantSplit/>
          <w:tblHeader w:val="false"/>
        </w:trPr>
        <w:tc>
          <w:tcPr>
            <w:tcW w:type="dxa" w:w="15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Atharva Soundankar</w:t>
            </w:r>
          </w:p>
        </w:tc>
        <w:tc>
          <w:tcPr>
            <w:tcW w:type="dxa" w:w="1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7 and 8</w:t>
            </w:r>
          </w:p>
        </w:tc>
        <w:tc>
          <w:tcPr>
            <w:tcW w:type="dxa" w:w="3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Scenarios and sensitivity</w:t>
            </w:r>
          </w:p>
        </w:tc>
        <w:tc>
          <w:tcPr>
            <w:tcW w:type="dxa" w:w="34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2 min 00</w:t>
            </w:r>
          </w:p>
        </w:tc>
      </w:tr>
      <w:tr>
        <w:trPr>
          <w:cantSplit/>
          <w:tblHeader w:val="false"/>
        </w:trPr>
        <w:tc>
          <w:tcPr>
            <w:tcW w:type="dxa" w:w="15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Tanishk Verma</w:t>
            </w:r>
          </w:p>
        </w:tc>
        <w:tc>
          <w:tcPr>
            <w:tcW w:type="dxa" w:w="1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9 and 10</w:t>
            </w:r>
          </w:p>
        </w:tc>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Risk, simulation and archetypes</w:t>
            </w:r>
          </w:p>
        </w:tc>
        <w:tc>
          <w:tcPr>
            <w:tcW w:type="dxa" w:w="34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1 min 45</w:t>
            </w:r>
          </w:p>
        </w:tc>
      </w:tr>
      <w:tr>
        <w:trPr>
          <w:cantSplit/>
          <w:tblHeader w:val="false"/>
        </w:trPr>
        <w:tc>
          <w:tcPr>
            <w:tcW w:type="dxa" w:w="15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Nihal Pusthe</w:t>
            </w:r>
          </w:p>
        </w:tc>
        <w:tc>
          <w:tcPr>
            <w:tcW w:type="dxa" w:w="1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11 and 12</w:t>
            </w:r>
          </w:p>
        </w:tc>
        <w:tc>
          <w:tcPr>
            <w:tcW w:type="dxa" w:w="32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The AI capabilities</w:t>
            </w:r>
          </w:p>
        </w:tc>
        <w:tc>
          <w:tcPr>
            <w:tcW w:type="dxa" w:w="34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2 min 00</w:t>
            </w:r>
          </w:p>
        </w:tc>
      </w:tr>
      <w:tr>
        <w:trPr>
          <w:cantSplit/>
          <w:tblHeader w:val="false"/>
        </w:trPr>
        <w:tc>
          <w:tcPr>
            <w:tcW w:type="dxa" w:w="15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Karan Baid</w:t>
            </w:r>
          </w:p>
        </w:tc>
        <w:tc>
          <w:tcPr>
            <w:tcW w:type="dxa" w:w="1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13 and 14</w:t>
            </w:r>
          </w:p>
        </w:tc>
        <w:tc>
          <w:tcPr>
            <w:tcW w:type="dxa" w:w="32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Ethics and the recommendation</w:t>
            </w:r>
          </w:p>
        </w:tc>
        <w:tc>
          <w:tcPr>
            <w:tcW w:type="dxa" w:w="34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2 min 00</w:t>
            </w:r>
          </w:p>
        </w:tc>
      </w:tr>
    </w:tbl>
    <w:p>
      <w:pPr>
        <w:spacing w:after="160"/>
      </w:pPr>
      <w:r>
        <w:rPr>
          <w:rFonts w:ascii="Calibri" w:cs="Calibri" w:eastAsia="Calibri" w:hAnsi="Calibri"/>
          <w:sz w:val="21"/>
          <w:szCs w:val="21"/>
        </w:rPr>
        <w:t xml:space="preserve"/>
      </w:r>
    </w:p>
    <w:p>
      <w:pPr>
        <w:pBdr>
          <w:bottom w:val="single" w:color="0E7490" w:sz="8" w:space="4"/>
        </w:pBdr>
        <w:spacing w:after="60" w:before="280"/>
      </w:pPr>
      <w:r>
        <w:rPr>
          <w:rFonts w:ascii="Calibri" w:cs="Calibri" w:eastAsia="Calibri" w:hAnsi="Calibri"/>
          <w:b/>
          <w:bCs/>
          <w:color w:val="0F2740"/>
          <w:sz w:val="26"/>
          <w:szCs w:val="26"/>
        </w:rPr>
        <w:t xml:space="preserve">Krishna Mathur</w:t>
      </w:r>
      <w:r>
        <w:rPr>
          <w:rFonts w:ascii="Calibri" w:cs="Calibri" w:eastAsia="Calibri" w:hAnsi="Calibri"/>
          <w:color w:val="475569"/>
          <w:sz w:val="19"/>
          <w:szCs w:val="19"/>
        </w:rPr>
        <w:t xml:space="preserve">    Slides 1 and 2    2 minutes</w:t>
      </w:r>
    </w:p>
    <w:p>
      <w:pPr>
        <w:spacing w:after="100"/>
      </w:pPr>
      <w:r>
        <w:rPr>
          <w:rFonts w:ascii="Calibri" w:cs="Calibri" w:eastAsia="Calibri" w:hAnsi="Calibri"/>
          <w:i/>
          <w:iCs/>
          <w:color w:val="0E7490"/>
          <w:sz w:val="18"/>
          <w:szCs w:val="18"/>
        </w:rPr>
        <w:t xml:space="preserve">Slide 1 up. Wait for the room to settle before you start.</w:t>
      </w:r>
    </w:p>
    <w:p>
      <w:pPr>
        <w:spacing w:after="120" w:before="0" w:line="276"/>
      </w:pPr>
      <w:r>
        <w:rPr>
          <w:rFonts w:ascii="Calibri" w:cs="Calibri" w:eastAsia="Calibri" w:hAnsi="Calibri"/>
          <w:sz w:val="21"/>
          <w:szCs w:val="21"/>
        </w:rPr>
        <w:t xml:space="preserve">Good morning. We are group nine and we built a capital-budgeting platform called CapExIQ.</w:t>
      </w:r>
    </w:p>
    <w:p>
      <w:pPr>
        <w:spacing w:after="120" w:before="0" w:line="276"/>
      </w:pPr>
      <w:r>
        <w:rPr>
          <w:rFonts w:ascii="Calibri" w:cs="Calibri" w:eastAsia="Calibri" w:hAnsi="Calibri"/>
          <w:sz w:val="21"/>
          <w:szCs w:val="21"/>
        </w:rPr>
        <w:t xml:space="preserve">The case is a UAE retailer we have called NovaRetail. They sell online, and right now every order gets picked by hand out of the back of one of their shops. It costs them 14.50 dirhams an order and it is slow. The proposal on the table is to spend 24 million dirhams on an automated fulfilment centre in Dubai, which would take that cost down to 4.20 and lift capacity to eight thousand orders a day.</w:t>
      </w:r>
    </w:p>
    <w:p>
      <w:pPr>
        <w:spacing w:after="120" w:before="0" w:line="276"/>
      </w:pPr>
      <w:r>
        <w:rPr>
          <w:rFonts w:ascii="Calibri" w:cs="Calibri" w:eastAsia="Calibri" w:hAnsi="Calibri"/>
          <w:sz w:val="21"/>
          <w:szCs w:val="21"/>
        </w:rPr>
        <w:t xml:space="preserve">So the question is straightforward. Is that 24 million worth spending.</w:t>
      </w:r>
    </w:p>
    <w:p>
      <w:pPr>
        <w:spacing w:after="100"/>
      </w:pPr>
      <w:r>
        <w:rPr>
          <w:rFonts w:ascii="Calibri" w:cs="Calibri" w:eastAsia="Calibri" w:hAnsi="Calibri"/>
          <w:i/>
          <w:iCs/>
          <w:color w:val="0E7490"/>
          <w:sz w:val="18"/>
          <w:szCs w:val="18"/>
        </w:rPr>
        <w:t xml:space="preserve">Advance to slide 2.</w:t>
      </w:r>
    </w:p>
    <w:p>
      <w:pPr>
        <w:spacing w:after="120" w:before="0" w:line="276"/>
      </w:pPr>
      <w:r>
        <w:rPr>
          <w:rFonts w:ascii="Calibri" w:cs="Calibri" w:eastAsia="Calibri" w:hAnsi="Calibri"/>
          <w:sz w:val="21"/>
          <w:szCs w:val="21"/>
        </w:rPr>
        <w:t xml:space="preserve">Management has four options and they are not equally attractive. Commit the whole amount now. Release 14 million and hold the other 10 back until the first year of savings actually shows up. Wait twelve months for better vendor evidence. Or do nothing and keep picking by hand.</w:t>
      </w:r>
    </w:p>
    <w:p>
      <w:pPr>
        <w:spacing w:after="120" w:before="0" w:line="276"/>
      </w:pPr>
      <w:r>
        <w:rPr>
          <w:rFonts w:ascii="Calibri" w:cs="Calibri" w:eastAsia="Calibri" w:hAnsi="Calibri"/>
          <w:sz w:val="21"/>
          <w:szCs w:val="21"/>
        </w:rPr>
        <w:t xml:space="preserve">This decision is worth taking seriously for three reasons that have nothing to do with the size of the number. The assets are specific, so if it goes wrong you cannot sell robotics shuttles to someone else at anything like what you paid. The error runs in both directions, because approving a weak case strands capital and rejecting a strong one hands the market to a competitor. And the postcodes where demand is growing fastest are exactly the ones where they have run out of picking capacity.</w:t>
      </w:r>
    </w:p>
    <w:p>
      <w:pPr>
        <w:spacing w:after="120" w:before="0" w:line="276"/>
      </w:pPr>
      <w:r>
        <w:rPr>
          <w:rFonts w:ascii="Calibri" w:cs="Calibri" w:eastAsia="Calibri" w:hAnsi="Calibri"/>
          <w:sz w:val="21"/>
          <w:szCs w:val="21"/>
        </w:rPr>
        <w:t xml:space="preserve">One thing before I hand over. Every number you see today comes from a deterministic engine. The AI in this project explains, challenges and drafts. It never calculates. Neel will pick that up.</w:t>
      </w:r>
    </w:p>
    <w:p>
      <w:pPr>
        <w:pBdr>
          <w:bottom w:val="single" w:color="0E7490" w:sz="8" w:space="4"/>
        </w:pBdr>
        <w:spacing w:after="60" w:before="280"/>
      </w:pPr>
      <w:r>
        <w:rPr>
          <w:rFonts w:ascii="Calibri" w:cs="Calibri" w:eastAsia="Calibri" w:hAnsi="Calibri"/>
          <w:b/>
          <w:bCs/>
          <w:color w:val="0F2740"/>
          <w:sz w:val="26"/>
          <w:szCs w:val="26"/>
        </w:rPr>
        <w:t xml:space="preserve">Neel Kapadia</w:t>
      </w:r>
      <w:r>
        <w:rPr>
          <w:rFonts w:ascii="Calibri" w:cs="Calibri" w:eastAsia="Calibri" w:hAnsi="Calibri"/>
          <w:color w:val="475569"/>
          <w:sz w:val="19"/>
          <w:szCs w:val="19"/>
        </w:rPr>
        <w:t xml:space="preserve">    Slides 3 and 4    2 minutes</w:t>
      </w:r>
    </w:p>
    <w:p>
      <w:pPr>
        <w:spacing w:after="100"/>
      </w:pPr>
      <w:r>
        <w:rPr>
          <w:rFonts w:ascii="Calibri" w:cs="Calibri" w:eastAsia="Calibri" w:hAnsi="Calibri"/>
          <w:i/>
          <w:iCs/>
          <w:color w:val="0E7490"/>
          <w:sz w:val="18"/>
          <w:szCs w:val="18"/>
        </w:rPr>
        <w:t xml:space="preserve">Slide 3, the formulas.</w:t>
      </w:r>
    </w:p>
    <w:p>
      <w:pPr>
        <w:spacing w:after="120" w:before="0" w:line="276"/>
      </w:pPr>
      <w:r>
        <w:rPr>
          <w:rFonts w:ascii="Calibri" w:cs="Calibri" w:eastAsia="Calibri" w:hAnsi="Calibri"/>
          <w:sz w:val="21"/>
          <w:szCs w:val="21"/>
        </w:rPr>
        <w:t xml:space="preserve">Thanks Krishna. Five formulas carry this decision and they are all on screen.</w:t>
      </w:r>
    </w:p>
    <w:p>
      <w:pPr>
        <w:spacing w:after="120" w:before="0" w:line="276"/>
      </w:pPr>
      <w:r>
        <w:rPr>
          <w:rFonts w:ascii="Calibri" w:cs="Calibri" w:eastAsia="Calibri" w:hAnsi="Calibri"/>
          <w:sz w:val="21"/>
          <w:szCs w:val="21"/>
        </w:rPr>
        <w:t xml:space="preserve">We discount incremental after-tax free cash flow at the weighted average cost of capital. Net present value is the primary rule, because it measures value created after the people who put up the money have been paid. Internal rate of return is the rate where that value hits zero. Modified IRR corrects the assumption inside IRR that you can reinvest every interim cash flow at the project return, which almost nobody can. Profitability index gives you value per dirham, which matters when the budget binds. And payback measures how long your money is exposed, which is a liquidity question rather than a value one.</w:t>
      </w:r>
    </w:p>
    <w:p>
      <w:pPr>
        <w:spacing w:after="100"/>
      </w:pPr>
      <w:r>
        <w:rPr>
          <w:rFonts w:ascii="Calibri" w:cs="Calibri" w:eastAsia="Calibri" w:hAnsi="Calibri"/>
          <w:i/>
          <w:iCs/>
          <w:color w:val="0E7490"/>
          <w:sz w:val="18"/>
          <w:szCs w:val="18"/>
        </w:rPr>
        <w:t xml:space="preserve">Advance to slide 4. Point at the classification column on the left.</w:t>
      </w:r>
    </w:p>
    <w:p>
      <w:pPr>
        <w:spacing w:after="120" w:before="0" w:line="276"/>
      </w:pPr>
      <w:r>
        <w:rPr>
          <w:rFonts w:ascii="Calibri" w:cs="Calibri" w:eastAsia="Calibri" w:hAnsi="Calibri"/>
          <w:sz w:val="21"/>
          <w:szCs w:val="21"/>
        </w:rPr>
        <w:t xml:space="preserve">The brief asks us to separate our data five ways and this is that split. Historical is observed operational data. Current external is real and checkable: UAE corporation tax is 9 percent above 375,000 dirhams under the 2022 decree law, DEWA publishes its tariff slabs, EIBOR is 3.79. Forecast is management estimate. User-entered is anything you can change on screen. And AI-generated has exactly one entry, a reskilling provision the model suggested, labelled so nobody has to wonder.</w:t>
      </w:r>
    </w:p>
    <w:p>
      <w:pPr>
        <w:spacing w:after="120" w:before="0" w:line="276"/>
      </w:pPr>
      <w:r>
        <w:rPr>
          <w:rFonts w:ascii="Calibri" w:cs="Calibri" w:eastAsia="Calibri" w:hAnsi="Calibri"/>
          <w:sz w:val="21"/>
          <w:szCs w:val="21"/>
        </w:rPr>
        <w:t xml:space="preserve">The hurdle rate on the right is built rather than picked. Risk-free of 4.20, a beta of 1.15 against a 6 percent equity premium, 0.75 for UAE country risk, and 3.5 points of execution premium because this company has never installed robotics before. That gives cost of equity of 15.35. Debt costs 5.72 after tax. Weighted sixty-forty, you get 11.50 percent.</w:t>
      </w:r>
    </w:p>
    <w:p>
      <w:pPr>
        <w:spacing w:after="120" w:before="0" w:line="276"/>
      </w:pPr>
      <w:r>
        <w:rPr>
          <w:rFonts w:ascii="Calibri" w:cs="Calibri" w:eastAsia="Calibri" w:hAnsi="Calibri"/>
          <w:sz w:val="21"/>
          <w:szCs w:val="21"/>
        </w:rPr>
        <w:t xml:space="preserve">The number I would defend hardest is at the bottom. The 7.5 million of first-year savings drives roughly three quarters of the value, so we do not assert it. We derive it from a labour bridge: 66.9 full-time equivalents displaced at a loaded cost of 112,000. That comes to 7,491,556, a tenth of a percent off. Yash has the schedule.</w:t>
      </w:r>
    </w:p>
    <w:p>
      <w:pPr>
        <w:pBdr>
          <w:bottom w:val="single" w:color="0E7490" w:sz="8" w:space="4"/>
        </w:pBdr>
        <w:spacing w:after="60" w:before="280"/>
      </w:pPr>
      <w:r>
        <w:rPr>
          <w:rFonts w:ascii="Calibri" w:cs="Calibri" w:eastAsia="Calibri" w:hAnsi="Calibri"/>
          <w:b/>
          <w:bCs/>
          <w:color w:val="0F2740"/>
          <w:sz w:val="26"/>
          <w:szCs w:val="26"/>
        </w:rPr>
        <w:t xml:space="preserve">Yash Petkar</w:t>
      </w:r>
      <w:r>
        <w:rPr>
          <w:rFonts w:ascii="Calibri" w:cs="Calibri" w:eastAsia="Calibri" w:hAnsi="Calibri"/>
          <w:color w:val="475569"/>
          <w:sz w:val="19"/>
          <w:szCs w:val="19"/>
        </w:rPr>
        <w:t xml:space="preserve">    Slides 5 and 6    1 minute 45</w:t>
      </w:r>
    </w:p>
    <w:p>
      <w:pPr>
        <w:spacing w:after="100"/>
      </w:pPr>
      <w:r>
        <w:rPr>
          <w:rFonts w:ascii="Calibri" w:cs="Calibri" w:eastAsia="Calibri" w:hAnsi="Calibri"/>
          <w:i/>
          <w:iCs/>
          <w:color w:val="0E7490"/>
          <w:sz w:val="18"/>
          <w:szCs w:val="18"/>
        </w:rPr>
        <w:t xml:space="preserve">Slide 5, the cash-flow chart.</w:t>
      </w:r>
    </w:p>
    <w:p>
      <w:pPr>
        <w:spacing w:after="120" w:before="0" w:line="276"/>
      </w:pPr>
      <w:r>
        <w:rPr>
          <w:rFonts w:ascii="Calibri" w:cs="Calibri" w:eastAsia="Calibri" w:hAnsi="Calibri"/>
          <w:sz w:val="21"/>
          <w:szCs w:val="21"/>
        </w:rPr>
        <w:t xml:space="preserve">Thank you. This is six years of after-tax free cash flow.</w:t>
      </w:r>
    </w:p>
    <w:p>
      <w:pPr>
        <w:spacing w:after="120" w:before="0" w:line="276"/>
      </w:pPr>
      <w:r>
        <w:rPr>
          <w:rFonts w:ascii="Calibri" w:cs="Calibri" w:eastAsia="Calibri" w:hAnsi="Calibri"/>
          <w:sz w:val="21"/>
          <w:szCs w:val="21"/>
        </w:rPr>
        <w:t xml:space="preserve">Year zero is the 24 million going out, and that splits into 22 million of capital expenditure and 2 million of working capital. Years one through five run between 7.4 and 8.8 million. Year six jumps to 13.2 because that is where the salvage value and the recovered working capital land.</w:t>
      </w:r>
    </w:p>
    <w:p>
      <w:pPr>
        <w:spacing w:after="120" w:before="0" w:line="276"/>
      </w:pPr>
      <w:r>
        <w:rPr>
          <w:rFonts w:ascii="Calibri" w:cs="Calibri" w:eastAsia="Calibri" w:hAnsi="Calibri"/>
          <w:sz w:val="21"/>
          <w:szCs w:val="21"/>
        </w:rPr>
        <w:t xml:space="preserve">Depreciation is straight line to salvage, so 22 million less 2 million over six years, which is 3,333,333 a year. It is not cash, but it reduces taxable income, and at 9 percent that shield is worth about 300,000 a year. That is why we add it back after tax.</w:t>
      </w:r>
    </w:p>
    <w:p>
      <w:pPr>
        <w:spacing w:after="100"/>
      </w:pPr>
      <w:r>
        <w:rPr>
          <w:rFonts w:ascii="Calibri" w:cs="Calibri" w:eastAsia="Calibri" w:hAnsi="Calibri"/>
          <w:i/>
          <w:iCs/>
          <w:color w:val="0E7490"/>
          <w:sz w:val="18"/>
          <w:szCs w:val="18"/>
        </w:rPr>
        <w:t xml:space="preserve">Advance to slide 6.</w:t>
      </w:r>
    </w:p>
    <w:p>
      <w:pPr>
        <w:spacing w:after="120" w:before="0" w:line="276"/>
      </w:pPr>
      <w:r>
        <w:rPr>
          <w:rFonts w:ascii="Calibri" w:cs="Calibri" w:eastAsia="Calibri" w:hAnsi="Calibri"/>
          <w:sz w:val="21"/>
          <w:szCs w:val="21"/>
        </w:rPr>
        <w:t xml:space="preserve">Here is what the engine returns. Present value of the inflows is 36.08 million against 24 million out, so net present value is 12,083,628. Internal rate of return is 26.30 percent against an 11.50 hurdle, which is 14.8 points of margin. Modified IRR is 19.34, and it is lower on purpose, because it reinvests at the cost of capital rather than at the project rate.</w:t>
      </w:r>
    </w:p>
    <w:p>
      <w:pPr>
        <w:spacing w:after="120" w:before="0" w:line="276"/>
      </w:pPr>
      <w:r>
        <w:rPr>
          <w:rFonts w:ascii="Calibri" w:cs="Calibri" w:eastAsia="Calibri" w:hAnsi="Calibri"/>
          <w:sz w:val="21"/>
          <w:szCs w:val="21"/>
        </w:rPr>
        <w:t xml:space="preserve">Profitability index is 1.50, so a dirham and a half of present value for every dirham committed. Payback is 3.1 years, or just under four discounted.</w:t>
      </w:r>
    </w:p>
    <w:p>
      <w:pPr>
        <w:spacing w:after="120" w:before="0" w:line="276"/>
      </w:pPr>
      <w:r>
        <w:rPr>
          <w:rFonts w:ascii="Calibri" w:cs="Calibri" w:eastAsia="Calibri" w:hAnsi="Calibri"/>
          <w:sz w:val="21"/>
          <w:szCs w:val="21"/>
        </w:rPr>
        <w:t xml:space="preserve">All five rules agree, which does not always happen. Atharva is going to show you where they stop agreeing.</w:t>
      </w:r>
    </w:p>
    <w:p>
      <w:pPr>
        <w:pBdr>
          <w:bottom w:val="single" w:color="0E7490" w:sz="8" w:space="4"/>
        </w:pBdr>
        <w:spacing w:after="60" w:before="280"/>
      </w:pPr>
      <w:r>
        <w:rPr>
          <w:rFonts w:ascii="Calibri" w:cs="Calibri" w:eastAsia="Calibri" w:hAnsi="Calibri"/>
          <w:b/>
          <w:bCs/>
          <w:color w:val="0F2740"/>
          <w:sz w:val="26"/>
          <w:szCs w:val="26"/>
        </w:rPr>
        <w:t xml:space="preserve">Atharva Soundankar</w:t>
      </w:r>
      <w:r>
        <w:rPr>
          <w:rFonts w:ascii="Calibri" w:cs="Calibri" w:eastAsia="Calibri" w:hAnsi="Calibri"/>
          <w:color w:val="475569"/>
          <w:sz w:val="19"/>
          <w:szCs w:val="19"/>
        </w:rPr>
        <w:t xml:space="preserve">    Slides 7 and 8    2 minutes</w:t>
      </w:r>
    </w:p>
    <w:p>
      <w:pPr>
        <w:spacing w:after="100"/>
      </w:pPr>
      <w:r>
        <w:rPr>
          <w:rFonts w:ascii="Calibri" w:cs="Calibri" w:eastAsia="Calibri" w:hAnsi="Calibri"/>
          <w:i/>
          <w:iCs/>
          <w:color w:val="0E7490"/>
          <w:sz w:val="18"/>
          <w:szCs w:val="18"/>
        </w:rPr>
        <w:t xml:space="preserve">Slide 7, the three scenarios.</w:t>
      </w:r>
    </w:p>
    <w:p>
      <w:pPr>
        <w:spacing w:after="120" w:before="0" w:line="276"/>
      </w:pPr>
      <w:r>
        <w:rPr>
          <w:rFonts w:ascii="Calibri" w:cs="Calibri" w:eastAsia="Calibri" w:hAnsi="Calibri"/>
          <w:sz w:val="21"/>
          <w:szCs w:val="21"/>
        </w:rPr>
        <w:t xml:space="preserve">Thanks Yash. A single number is not an answer, so we ran three cases.</w:t>
      </w:r>
    </w:p>
    <w:p>
      <w:pPr>
        <w:spacing w:after="120" w:before="0" w:line="276"/>
      </w:pPr>
      <w:r>
        <w:rPr>
          <w:rFonts w:ascii="Calibri" w:cs="Calibri" w:eastAsia="Calibri" w:hAnsi="Calibri"/>
          <w:sz w:val="21"/>
          <w:szCs w:val="21"/>
        </w:rPr>
        <w:t xml:space="preserve">Optimistic assumes capital comes in five percent under, benefits ten percent over, and the rate at 10.5. That gives 19 million of value. Base is what you have just seen. Pessimistic cuts benefits by a quarter, adds fifteen percent to both capital and running cost, and puts the rate at 14.5.</w:t>
      </w:r>
    </w:p>
    <w:p>
      <w:pPr>
        <w:spacing w:after="120" w:before="0" w:line="276"/>
      </w:pPr>
      <w:r>
        <w:rPr>
          <w:rFonts w:ascii="Calibri" w:cs="Calibri" w:eastAsia="Calibri" w:hAnsi="Calibri"/>
          <w:sz w:val="21"/>
          <w:szCs w:val="21"/>
        </w:rPr>
        <w:t xml:space="preserve">Pessimistic returns negative 4.94 million and the engine says Reject. I want to be clear that we did not soften that. The downside on this project is real, and if we had built a model where every case came out positive, the model would be wrong rather than the project being good.</w:t>
      </w:r>
    </w:p>
    <w:p>
      <w:pPr>
        <w:spacing w:after="120" w:before="0" w:line="276"/>
      </w:pPr>
      <w:r>
        <w:rPr>
          <w:rFonts w:ascii="Calibri" w:cs="Calibri" w:eastAsia="Calibri" w:hAnsi="Calibri"/>
          <w:sz w:val="21"/>
          <w:szCs w:val="21"/>
        </w:rPr>
        <w:t xml:space="preserve">Weight those three at fifty, twenty-five, twenty-five and expected value is 9.56 million.</w:t>
      </w:r>
    </w:p>
    <w:p>
      <w:pPr>
        <w:spacing w:after="100"/>
      </w:pPr>
      <w:r>
        <w:rPr>
          <w:rFonts w:ascii="Calibri" w:cs="Calibri" w:eastAsia="Calibri" w:hAnsi="Calibri"/>
          <w:i/>
          <w:iCs/>
          <w:color w:val="0E7490"/>
          <w:sz w:val="18"/>
          <w:szCs w:val="18"/>
        </w:rPr>
        <w:t xml:space="preserve">Advance to slide 8, the tornado chart.</w:t>
      </w:r>
    </w:p>
    <w:p>
      <w:pPr>
        <w:spacing w:after="120" w:before="0" w:line="276"/>
      </w:pPr>
      <w:r>
        <w:rPr>
          <w:rFonts w:ascii="Calibri" w:cs="Calibri" w:eastAsia="Calibri" w:hAnsi="Calibri"/>
          <w:sz w:val="21"/>
          <w:szCs w:val="21"/>
        </w:rPr>
        <w:t xml:space="preserve">This is where the decision actually lives. We flexed every driver by the same twenty percent so the bars mean something next to each other. Total operating benefits swings value by 16.67 million, which is more than the entire base case. Project life is next at 8.39, then capital cost at 8.25. The discount rate moves it 5.17. Salvage value barely registers at 0.37.</w:t>
      </w:r>
    </w:p>
    <w:p>
      <w:pPr>
        <w:spacing w:after="120" w:before="0" w:line="276"/>
      </w:pPr>
      <w:r>
        <w:rPr>
          <w:rFonts w:ascii="Calibri" w:cs="Calibri" w:eastAsia="Calibri" w:hAnsi="Calibri"/>
          <w:sz w:val="21"/>
          <w:szCs w:val="21"/>
        </w:rPr>
        <w:t xml:space="preserve">So the decision flips if first-year benefits come in more than 29 percent below forecast, or if total spend overruns by more than 50 percent, or if the cost of capital goes above 26.3.</w:t>
      </w:r>
    </w:p>
    <w:p>
      <w:pPr>
        <w:spacing w:after="120" w:before="0" w:line="276"/>
      </w:pPr>
      <w:r>
        <w:rPr>
          <w:rFonts w:ascii="Calibri" w:cs="Calibri" w:eastAsia="Calibri" w:hAnsi="Calibri"/>
          <w:sz w:val="21"/>
          <w:szCs w:val="21"/>
        </w:rPr>
        <w:t xml:space="preserve">The useful conclusion is that this is a benefits-realisation risk, not a procurement risk. Negotiating harder on the equipment price protects almost nothing. Tanishk has the risk work.</w:t>
      </w:r>
    </w:p>
    <w:p>
      <w:pPr>
        <w:pBdr>
          <w:bottom w:val="single" w:color="0E7490" w:sz="8" w:space="4"/>
        </w:pBdr>
        <w:spacing w:after="60" w:before="280"/>
      </w:pPr>
      <w:r>
        <w:rPr>
          <w:rFonts w:ascii="Calibri" w:cs="Calibri" w:eastAsia="Calibri" w:hAnsi="Calibri"/>
          <w:b/>
          <w:bCs/>
          <w:color w:val="0F2740"/>
          <w:sz w:val="26"/>
          <w:szCs w:val="26"/>
        </w:rPr>
        <w:t xml:space="preserve">Tanishk Verma</w:t>
      </w:r>
      <w:r>
        <w:rPr>
          <w:rFonts w:ascii="Calibri" w:cs="Calibri" w:eastAsia="Calibri" w:hAnsi="Calibri"/>
          <w:color w:val="475569"/>
          <w:sz w:val="19"/>
          <w:szCs w:val="19"/>
        </w:rPr>
        <w:t xml:space="preserve">    Slides 9 and 10    1 minute 45</w:t>
      </w:r>
    </w:p>
    <w:p>
      <w:pPr>
        <w:spacing w:after="100"/>
      </w:pPr>
      <w:r>
        <w:rPr>
          <w:rFonts w:ascii="Calibri" w:cs="Calibri" w:eastAsia="Calibri" w:hAnsi="Calibri"/>
          <w:i/>
          <w:iCs/>
          <w:color w:val="0E7490"/>
          <w:sz w:val="18"/>
          <w:szCs w:val="18"/>
        </w:rPr>
        <w:t xml:space="preserve">Slide 9, Monte Carlo and the alert panel.</w:t>
      </w:r>
    </w:p>
    <w:p>
      <w:pPr>
        <w:spacing w:after="120" w:before="0" w:line="276"/>
      </w:pPr>
      <w:r>
        <w:rPr>
          <w:rFonts w:ascii="Calibri" w:cs="Calibri" w:eastAsia="Calibri" w:hAnsi="Calibri"/>
          <w:sz w:val="21"/>
          <w:szCs w:val="21"/>
        </w:rPr>
        <w:t xml:space="preserve">Thanks. Scenarios test three futures. Monte Carlo tests five thousand.</w:t>
      </w:r>
    </w:p>
    <w:p>
      <w:pPr>
        <w:spacing w:after="120" w:before="0" w:line="276"/>
      </w:pPr>
      <w:r>
        <w:rPr>
          <w:rFonts w:ascii="Calibri" w:cs="Calibri" w:eastAsia="Calibri" w:hAnsi="Calibri"/>
          <w:sz w:val="21"/>
          <w:szCs w:val="21"/>
        </w:rPr>
        <w:t xml:space="preserve">We vary the uncertain inputs together across their plausible ranges and run the whole model each time. The generator is seeded, so this distribution is identical every time you open the page rather than moving slightly on each visit. About 88 percent of runs come out positive. The mean sits close to the base case, which tells us the base case is not quietly optimistic.</w:t>
      </w:r>
    </w:p>
    <w:p>
      <w:pPr>
        <w:spacing w:after="120" w:before="0" w:line="276"/>
      </w:pPr>
      <w:r>
        <w:rPr>
          <w:rFonts w:ascii="Calibri" w:cs="Calibri" w:eastAsia="Calibri" w:hAnsi="Calibri"/>
          <w:sz w:val="21"/>
          <w:szCs w:val="21"/>
        </w:rPr>
        <w:t xml:space="preserve">On the right is the alert panel. Eleven rules, ranked by severity, and they fire on every recalculation. Negative value, return below hurdle, dependence on salvage, and an unrealistic assumption check that the brief specifically asks for. There is also a screen that runs before the engine, so an implausible input gets caught on the way in rather than after it has already been discounted and charted.</w:t>
      </w:r>
    </w:p>
    <w:p>
      <w:pPr>
        <w:spacing w:after="100"/>
      </w:pPr>
      <w:r>
        <w:rPr>
          <w:rFonts w:ascii="Calibri" w:cs="Calibri" w:eastAsia="Calibri" w:hAnsi="Calibri"/>
          <w:i/>
          <w:iCs/>
          <w:color w:val="0E7490"/>
          <w:sz w:val="18"/>
          <w:szCs w:val="18"/>
        </w:rPr>
        <w:t xml:space="preserve">Advance to slide 10.</w:t>
      </w:r>
    </w:p>
    <w:p>
      <w:pPr>
        <w:spacing w:after="120" w:before="0" w:line="276"/>
      </w:pPr>
      <w:r>
        <w:rPr>
          <w:rFonts w:ascii="Calibri" w:cs="Calibri" w:eastAsia="Calibri" w:hAnsi="Calibri"/>
          <w:sz w:val="21"/>
          <w:szCs w:val="21"/>
        </w:rPr>
        <w:t xml:space="preserve">Last thing from me. The brief lists eight kinds of investment, so we built all eight rather than one. Same engine, different cash-flow construction. Opening a branch, buying machinery, launching a product, building a platform, expanding a facility, going online, automating, entering a market.</w:t>
      </w:r>
    </w:p>
    <w:p>
      <w:pPr>
        <w:spacing w:after="120" w:before="0" w:line="276"/>
      </w:pPr>
      <w:r>
        <w:rPr>
          <w:rFonts w:ascii="Calibri" w:cs="Calibri" w:eastAsia="Calibri" w:hAnsi="Calibri"/>
          <w:sz w:val="21"/>
          <w:szCs w:val="21"/>
        </w:rPr>
        <w:t xml:space="preserve">Five of the eight defaults fail, and that is deliberate. If every template we shipped came out comfortably profitable, we would be demonstrating optimistic defaults rather than a working engine. Nihal is going to talk about the AI.</w:t>
      </w:r>
    </w:p>
    <w:p>
      <w:pPr>
        <w:pBdr>
          <w:bottom w:val="single" w:color="0E7490" w:sz="8" w:space="4"/>
        </w:pBdr>
        <w:spacing w:after="60" w:before="280"/>
      </w:pPr>
      <w:r>
        <w:rPr>
          <w:rFonts w:ascii="Calibri" w:cs="Calibri" w:eastAsia="Calibri" w:hAnsi="Calibri"/>
          <w:b/>
          <w:bCs/>
          <w:color w:val="0F2740"/>
          <w:sz w:val="26"/>
          <w:szCs w:val="26"/>
        </w:rPr>
        <w:t xml:space="preserve">Nihal Pusthe</w:t>
      </w:r>
      <w:r>
        <w:rPr>
          <w:rFonts w:ascii="Calibri" w:cs="Calibri" w:eastAsia="Calibri" w:hAnsi="Calibri"/>
          <w:color w:val="475569"/>
          <w:sz w:val="19"/>
          <w:szCs w:val="19"/>
        </w:rPr>
        <w:t xml:space="preserve">    Slides 11 and 12    2 minutes</w:t>
      </w:r>
    </w:p>
    <w:p>
      <w:pPr>
        <w:spacing w:after="100"/>
      </w:pPr>
      <w:r>
        <w:rPr>
          <w:rFonts w:ascii="Calibri" w:cs="Calibri" w:eastAsia="Calibri" w:hAnsi="Calibri"/>
          <w:i/>
          <w:iCs/>
          <w:color w:val="0E7490"/>
          <w:sz w:val="18"/>
          <w:szCs w:val="18"/>
        </w:rPr>
        <w:t xml:space="preserve">Slide 11.</w:t>
      </w:r>
    </w:p>
    <w:p>
      <w:pPr>
        <w:spacing w:after="120" w:before="0" w:line="276"/>
      </w:pPr>
      <w:r>
        <w:rPr>
          <w:rFonts w:ascii="Calibri" w:cs="Calibri" w:eastAsia="Calibri" w:hAnsi="Calibri"/>
          <w:sz w:val="21"/>
          <w:szCs w:val="21"/>
        </w:rPr>
        <w:t xml:space="preserve">Thanks Tanishk. Sixteen AI capabilities, and I will describe four properly rather than list all of them.</w:t>
      </w:r>
    </w:p>
    <w:p>
      <w:pPr>
        <w:spacing w:after="120" w:before="0" w:line="276"/>
      </w:pPr>
      <w:r>
        <w:rPr>
          <w:rFonts w:ascii="Calibri" w:cs="Calibri" w:eastAsia="Calibri" w:hAnsi="Calibri"/>
          <w:sz w:val="21"/>
          <w:szCs w:val="21"/>
        </w:rPr>
        <w:t xml:space="preserve">The assistant retrieves before it answers. Ask it where the 9 percent tax rate comes from and it pulls the relevant passages out of our own documentation, then answers with numbered citations you can expand to read the source. That turns an answer you have to trust into one you can check. It cost us about six tenths of a second to first word, against roughly half a minute before we made it stream.</w:t>
      </w:r>
    </w:p>
    <w:p>
      <w:pPr>
        <w:spacing w:after="120" w:before="0" w:line="276"/>
      </w:pPr>
      <w:r>
        <w:rPr>
          <w:rFonts w:ascii="Calibri" w:cs="Calibri" w:eastAsia="Calibri" w:hAnsi="Calibri"/>
          <w:sz w:val="21"/>
          <w:szCs w:val="21"/>
        </w:rPr>
        <w:t xml:space="preserve">Driver attribution answers why a number moved. It decomposes a change in value driver by driver, and the parts reconcile exactly to the total with nothing unexplained left over.</w:t>
      </w:r>
    </w:p>
    <w:p>
      <w:pPr>
        <w:spacing w:after="100"/>
      </w:pPr>
      <w:r>
        <w:rPr>
          <w:rFonts w:ascii="Calibri" w:cs="Calibri" w:eastAsia="Calibri" w:hAnsi="Calibri"/>
          <w:i/>
          <w:iCs/>
          <w:color w:val="0E7490"/>
          <w:sz w:val="18"/>
          <w:szCs w:val="18"/>
        </w:rPr>
        <w:t xml:space="preserve">Advance to slide 12.</w:t>
      </w:r>
    </w:p>
    <w:p>
      <w:pPr>
        <w:spacing w:after="120" w:before="0" w:line="276"/>
      </w:pPr>
      <w:r>
        <w:rPr>
          <w:rFonts w:ascii="Calibri" w:cs="Calibri" w:eastAsia="Calibri" w:hAnsi="Calibri"/>
          <w:sz w:val="21"/>
          <w:szCs w:val="21"/>
        </w:rPr>
        <w:t xml:space="preserve">Board debate simulates a chief financial officer, a chief operating officer, a risk officer and a sceptical non-executive arguing this case. It manufactures the challenge a single author cannot supply. It is not real governance and we are not going to pretend it is.</w:t>
      </w:r>
    </w:p>
    <w:p>
      <w:pPr>
        <w:spacing w:after="120" w:before="0" w:line="276"/>
      </w:pPr>
      <w:r>
        <w:rPr>
          <w:rFonts w:ascii="Calibri" w:cs="Calibri" w:eastAsia="Calibri" w:hAnsi="Calibri"/>
          <w:sz w:val="21"/>
          <w:szCs w:val="21"/>
        </w:rPr>
        <w:t xml:space="preserve">And the assumption screen checks inputs against plausible ranges before the engine runs, so an implausible number is caught on the way in.</w:t>
      </w:r>
    </w:p>
    <w:p>
      <w:pPr>
        <w:spacing w:after="120" w:before="0" w:line="276"/>
      </w:pPr>
      <w:r>
        <w:rPr>
          <w:rFonts w:ascii="Calibri" w:cs="Calibri" w:eastAsia="Calibri" w:hAnsi="Calibri"/>
          <w:sz w:val="21"/>
          <w:szCs w:val="21"/>
        </w:rPr>
        <w:t xml:space="preserve">Every one of these has a stated limitation in the report, because the brief asks for that and because they genuinely have limitations. Retrieval can miss a passage. A citation proves where something came from, not that it is correct. The memorandum writer will produce a confident document from bad inputs, which is why sign-off is mandatory rather than optional.</w:t>
      </w:r>
    </w:p>
    <w:p>
      <w:pPr>
        <w:spacing w:after="120" w:before="0" w:line="276"/>
      </w:pPr>
      <w:r>
        <w:rPr>
          <w:rFonts w:ascii="Calibri" w:cs="Calibri" w:eastAsia="Calibri" w:hAnsi="Calibri"/>
          <w:sz w:val="21"/>
          <w:szCs w:val="21"/>
        </w:rPr>
        <w:t xml:space="preserve">The boundary underneath all of it is the same one Krishna opened with. Take the API key out and every financial result is unchanged. Karan will close.</w:t>
      </w:r>
    </w:p>
    <w:p>
      <w:pPr>
        <w:pBdr>
          <w:bottom w:val="single" w:color="0E7490" w:sz="8" w:space="4"/>
        </w:pBdr>
        <w:spacing w:after="60" w:before="280"/>
      </w:pPr>
      <w:r>
        <w:rPr>
          <w:rFonts w:ascii="Calibri" w:cs="Calibri" w:eastAsia="Calibri" w:hAnsi="Calibri"/>
          <w:b/>
          <w:bCs/>
          <w:color w:val="0F2740"/>
          <w:sz w:val="26"/>
          <w:szCs w:val="26"/>
        </w:rPr>
        <w:t xml:space="preserve">Karan Baid</w:t>
      </w:r>
      <w:r>
        <w:rPr>
          <w:rFonts w:ascii="Calibri" w:cs="Calibri" w:eastAsia="Calibri" w:hAnsi="Calibri"/>
          <w:color w:val="475569"/>
          <w:sz w:val="19"/>
          <w:szCs w:val="19"/>
        </w:rPr>
        <w:t xml:space="preserve">    Slides 13 and 14    2 minutes</w:t>
      </w:r>
    </w:p>
    <w:p>
      <w:pPr>
        <w:spacing w:after="100"/>
      </w:pPr>
      <w:r>
        <w:rPr>
          <w:rFonts w:ascii="Calibri" w:cs="Calibri" w:eastAsia="Calibri" w:hAnsi="Calibri"/>
          <w:i/>
          <w:iCs/>
          <w:color w:val="0E7490"/>
          <w:sz w:val="18"/>
          <w:szCs w:val="18"/>
        </w:rPr>
        <w:t xml:space="preserve">Slide 13, ethics.</w:t>
      </w:r>
    </w:p>
    <w:p>
      <w:pPr>
        <w:spacing w:after="120" w:before="0" w:line="276"/>
      </w:pPr>
      <w:r>
        <w:rPr>
          <w:rFonts w:ascii="Calibri" w:cs="Calibri" w:eastAsia="Calibri" w:hAnsi="Calibri"/>
          <w:sz w:val="21"/>
          <w:szCs w:val="21"/>
        </w:rPr>
        <w:t xml:space="preserve">Thanks Nihal. The brief asks for seven points on the ethical use of AI and they are all on this slide, but I want to spend my time on the one in amber at the bottom, because it happened to us.</w:t>
      </w:r>
    </w:p>
    <w:p>
      <w:pPr>
        <w:spacing w:after="120" w:before="0" w:line="276"/>
      </w:pPr>
      <w:r>
        <w:rPr>
          <w:rFonts w:ascii="Calibri" w:cs="Calibri" w:eastAsia="Calibri" w:hAnsi="Calibri"/>
          <w:sz w:val="21"/>
          <w:szCs w:val="21"/>
        </w:rPr>
        <w:t xml:space="preserve">An earlier build of our macro panel prompted the model to act as a real-time data ingestion agent, and we published what came back as observed market data. Nothing was ever fetched. Every interest rate, every utility tariff, every lease price on that panel had been generated by the model, and it was sitting on a board screen looking like fact.</w:t>
      </w:r>
    </w:p>
    <w:p>
      <w:pPr>
        <w:spacing w:after="120" w:before="0" w:line="276"/>
      </w:pPr>
      <w:r>
        <w:rPr>
          <w:rFonts w:ascii="Calibri" w:cs="Calibri" w:eastAsia="Calibri" w:hAnsi="Calibri"/>
          <w:sz w:val="21"/>
          <w:szCs w:val="21"/>
        </w:rPr>
        <w:t xml:space="preserve">We found it, took the generation step out, and replaced it with values transcribed by hand from published sources with citations and dates. The panel now says explicitly that it is not live.</w:t>
      </w:r>
    </w:p>
    <w:p>
      <w:pPr>
        <w:spacing w:after="120" w:before="0" w:line="276"/>
      </w:pPr>
      <w:r>
        <w:rPr>
          <w:rFonts w:ascii="Calibri" w:cs="Calibri" w:eastAsia="Calibri" w:hAnsi="Calibri"/>
          <w:sz w:val="21"/>
          <w:szCs w:val="21"/>
        </w:rPr>
        <w:t xml:space="preserve">The reason I am telling you rather than quietly fixing it is that it is the clearest example we have of the actual risk. The danger is not that a model says something false. It is that a well-designed interface makes a generated number look identical to a measured one, and we were the ones who designed the interface. Everything else on this slide follows from that. Provenance labels on every input. A model that cannot compute. Human sign-off that is required rather than encouraged.</w:t>
      </w:r>
    </w:p>
    <w:p>
      <w:pPr>
        <w:spacing w:after="100"/>
      </w:pPr>
      <w:r>
        <w:rPr>
          <w:rFonts w:ascii="Calibri" w:cs="Calibri" w:eastAsia="Calibri" w:hAnsi="Calibri"/>
          <w:i/>
          <w:iCs/>
          <w:color w:val="0E7490"/>
          <w:sz w:val="18"/>
          <w:szCs w:val="18"/>
        </w:rPr>
        <w:t xml:space="preserve">Advance to slide 14, the recommendation.</w:t>
      </w:r>
    </w:p>
    <w:p>
      <w:pPr>
        <w:spacing w:after="120" w:before="0" w:line="276"/>
      </w:pPr>
      <w:r>
        <w:rPr>
          <w:rFonts w:ascii="Calibri" w:cs="Calibri" w:eastAsia="Calibri" w:hAnsi="Calibri"/>
          <w:sz w:val="21"/>
          <w:szCs w:val="21"/>
        </w:rPr>
        <w:t xml:space="preserve">Our recommendation is to approve, with two conditions, and both come out of the analysis rather than out of habit.</w:t>
      </w:r>
    </w:p>
    <w:p>
      <w:pPr>
        <w:spacing w:after="120" w:before="0" w:line="276"/>
      </w:pPr>
      <w:r>
        <w:rPr>
          <w:rFonts w:ascii="Calibri" w:cs="Calibri" w:eastAsia="Calibri" w:hAnsi="Calibri"/>
          <w:sz w:val="21"/>
          <w:szCs w:val="21"/>
        </w:rPr>
        <w:t xml:space="preserve">First, release the capital against measured savings rather than against the calendar, because benefits realisation is the dominant risk by a factor of two over anything else. Second, require a vendor performance guarantee and a buyback clause, because the pessimistic case genuinely destroys value and we would rather not carry that unprotected.</w:t>
      </w:r>
    </w:p>
    <w:p>
      <w:pPr>
        <w:spacing w:after="120" w:before="0" w:line="276"/>
      </w:pPr>
      <w:r>
        <w:rPr>
          <w:rFonts w:ascii="Calibri" w:cs="Calibri" w:eastAsia="Calibri" w:hAnsi="Calibri"/>
          <w:sz w:val="21"/>
          <w:szCs w:val="21"/>
        </w:rPr>
        <w:t xml:space="preserve">Neither condition weakens the case. They protect it. Twelve million of value, a 26.3 percent return against an 11.5 hurdle, payback inside four years, and all five decision rules agreeing.</w:t>
      </w:r>
    </w:p>
    <w:p>
      <w:pPr>
        <w:spacing w:after="120" w:before="0" w:line="276"/>
      </w:pPr>
      <w:r>
        <w:rPr>
          <w:rFonts w:ascii="Calibri" w:cs="Calibri" w:eastAsia="Calibri" w:hAnsi="Calibri"/>
          <w:sz w:val="21"/>
          <w:szCs w:val="21"/>
        </w:rPr>
        <w:t xml:space="preserve">And the decision stays with the chief financial officer and the capital committee. Not with the software. Thank you, and we are happy to take questions.</w:t>
      </w:r>
    </w:p>
    <w:p>
      <w:r>
        <w:br w:type="page"/>
      </w:r>
    </w:p>
    <w:p>
      <w:pPr>
        <w:pStyle w:val="Heading1"/>
        <w:pBdr>
          <w:bottom w:val="single" w:color="0E7490" w:sz="8" w:space="4"/>
        </w:pBdr>
        <w:spacing w:after="140" w:before="300"/>
      </w:pPr>
      <w:r>
        <w:rPr>
          <w:rFonts w:ascii="Calibri" w:cs="Calibri" w:eastAsia="Calibri" w:hAnsi="Calibri"/>
          <w:b/>
          <w:bCs/>
          <w:color w:val="0F2740"/>
          <w:sz w:val="26"/>
          <w:szCs w:val="26"/>
        </w:rPr>
        <w:t xml:space="preserve">10. Running the demo without it going wrong</w:t>
      </w:r>
    </w:p>
    <w:p>
      <w:pPr>
        <w:spacing w:after="120" w:before="0" w:line="276"/>
      </w:pPr>
      <w:r>
        <w:rPr>
          <w:rFonts w:ascii="Calibri" w:cs="Calibri" w:eastAsia="Calibri" w:hAnsi="Calibri"/>
          <w:sz w:val="21"/>
          <w:szCs w:val="21"/>
        </w:rPr>
        <w:t xml:space="preserve">If there is a live demonstration, keep it to four moves and rehearse the order. Anything more and you will run out of time or land on a loading state.</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700"/>
        <w:gridCol w:w="2600"/>
        <w:gridCol w:w="6060"/>
      </w:tblGrid>
      <w:tr>
        <w:trPr>
          <w:cantSplit/>
          <w:tblHeader/>
        </w:trPr>
        <w:tc>
          <w:tcPr>
            <w:tcW w:type="dxa" w:w="7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
            </w:r>
          </w:p>
        </w:tc>
        <w:tc>
          <w:tcPr>
            <w:tcW w:type="dxa" w:w="26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Do this</w:t>
            </w:r>
          </w:p>
        </w:tc>
        <w:tc>
          <w:tcPr>
            <w:tcW w:type="dxa" w:w="60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Say this while it loads</w:t>
            </w:r>
          </w:p>
        </w:tc>
      </w:tr>
      <w:tr>
        <w:trPr>
          <w:cantSplit/>
          <w:tblHeader w:val="false"/>
        </w:trPr>
        <w:tc>
          <w:tcPr>
            <w:tcW w:type="dxa" w:w="7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1</w:t>
            </w:r>
          </w:p>
        </w:tc>
        <w:tc>
          <w:tcPr>
            <w:tcW w:type="dxa" w:w="26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Sign in as the CFO</w:t>
            </w:r>
          </w:p>
        </w:tc>
        <w:tc>
          <w:tcPr>
            <w:tcW w:type="dxa" w:w="60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Authority comes from a signed cookie checked before the page renders, not from a dropdown.</w:t>
            </w:r>
          </w:p>
        </w:tc>
      </w:tr>
      <w:tr>
        <w:trPr>
          <w:cantSplit/>
          <w:tblHeader w:val="false"/>
        </w:trPr>
        <w:tc>
          <w:tcPr>
            <w:tcW w:type="dxa" w:w="7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2</w:t>
            </w:r>
          </w:p>
        </w:tc>
        <w:tc>
          <w:tcPr>
            <w:tcW w:type="dxa" w:w="2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Dashboard, switch Base to Pessimistic</w:t>
            </w:r>
          </w:p>
        </w:tc>
        <w:tc>
          <w:tcPr>
            <w:tcW w:type="dxa" w:w="60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Watch the advisory panel. It changes its verdict to Reject rather than repeating a fixed sentence.</w:t>
            </w:r>
          </w:p>
        </w:tc>
      </w:tr>
      <w:tr>
        <w:trPr>
          <w:cantSplit/>
          <w:tblHeader w:val="false"/>
        </w:trPr>
        <w:tc>
          <w:tcPr>
            <w:tcW w:type="dxa" w:w="7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3</w:t>
            </w:r>
          </w:p>
        </w:tc>
        <w:tc>
          <w:tcPr>
            <w:tcW w:type="dxa" w:w="26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Decision intelligence, Base against Pessimistic</w:t>
            </w:r>
          </w:p>
        </w:tc>
        <w:tc>
          <w:tcPr>
            <w:tcW w:type="dxa" w:w="60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Benefits account for most of the swing. The residual is zero, so nothing is unexplained.</w:t>
            </w:r>
          </w:p>
        </w:tc>
      </w:tr>
      <w:tr>
        <w:trPr>
          <w:cantSplit/>
          <w:tblHeader w:val="false"/>
        </w:trPr>
        <w:tc>
          <w:tcPr>
            <w:tcW w:type="dxa" w:w="7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4</w:t>
            </w:r>
          </w:p>
        </w:tc>
        <w:tc>
          <w:tcPr>
            <w:tcW w:type="dxa" w:w="26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Sign out, sign in as COO, type the funding URL</w:t>
            </w:r>
          </w:p>
        </w:tc>
        <w:tc>
          <w:tcPr>
            <w:tcW w:type="dxa" w:w="60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Refused. The module is unreachable, not hidden.</w:t>
            </w:r>
          </w:p>
        </w:tc>
      </w:tr>
    </w:tbl>
    <w:p>
      <w:pPr>
        <w:spacing w:after="120"/>
      </w:pPr>
      <w:r>
        <w:rPr>
          <w:rFonts w:ascii="Calibri" w:cs="Calibri" w:eastAsia="Calibri" w:hAnsi="Calibri"/>
          <w:sz w:val="21"/>
          <w:szCs w:val="21"/>
        </w:rPr>
        <w:t xml:space="preserve"/>
      </w:r>
    </w:p>
    <w:p>
      <w:pPr>
        <w:spacing w:after="120" w:before="0" w:line="276"/>
      </w:pPr>
      <w:r>
        <w:rPr>
          <w:rFonts w:ascii="Calibri" w:cs="Calibri" w:eastAsia="Calibri" w:hAnsi="Calibri"/>
          <w:sz w:val="21"/>
          <w:szCs w:val="21"/>
        </w:rPr>
        <w:t xml:space="preserve">Two things that will save you if something goes wrong. There is no API key on the demo machine, so the AI panels will show a deterministic fallback badge. That is worth pointing at rather than apologising for, because it is the governance argument made visible. And if the network drops entirely, every financial figure still computes, because none of them depend on it.</w:t>
      </w:r>
    </w:p>
    <w:p>
      <w:pPr>
        <w:pStyle w:val="Heading2"/>
        <w:spacing w:after="80" w:before="200"/>
      </w:pPr>
      <w:r>
        <w:rPr>
          <w:rFonts w:ascii="Calibri" w:cs="Calibri" w:eastAsia="Calibri" w:hAnsi="Calibri"/>
          <w:b/>
          <w:bCs/>
          <w:color w:val="0E7490"/>
          <w:sz w:val="22"/>
          <w:szCs w:val="22"/>
        </w:rPr>
        <w:t xml:space="preserve">Questions we expect</w:t>
      </w:r>
    </w:p>
    <w:tbl>
      <w:tblPr>
        <w:tblW w:type="dxa" w:w="9360"/>
        <w:tblBorders>
          <w:top w:val="single" w:color="CBD5E1" w:sz="4"/>
          <w:left w:val="none" w:color="FFFFFF" w:sz="0"/>
          <w:bottom w:val="single" w:color="CBD5E1" w:sz="4"/>
          <w:right w:val="none" w:color="FFFFFF" w:sz="0"/>
          <w:insideH w:val="single" w:color="CBD5E1" w:sz="2"/>
          <w:insideV w:val="none" w:color="FFFFFF" w:sz="0"/>
        </w:tblBorders>
      </w:tblPr>
      <w:tblGrid>
        <w:gridCol w:w="3100"/>
        <w:gridCol w:w="6260"/>
      </w:tblGrid>
      <w:tr>
        <w:trPr>
          <w:cantSplit/>
          <w:tblHeader/>
        </w:trPr>
        <w:tc>
          <w:tcPr>
            <w:tcW w:type="dxa" w:w="310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If they ask</w:t>
            </w:r>
          </w:p>
        </w:tc>
        <w:tc>
          <w:tcPr>
            <w:tcW w:type="dxa" w:w="6260"/>
            <w:shd w:fill="0F2740" w:color="auto" w:val="clear"/>
            <w:tcMar>
              <w:top w:type="dxa" w:w="60"/>
              <w:left w:type="dxa" w:w="90"/>
              <w:bottom w:type="dxa" w:w="60"/>
              <w:right w:type="dxa" w:w="90"/>
            </w:tcMar>
          </w:tcPr>
          <w:p>
            <w:pPr>
              <w:spacing w:after="0" w:before="0" w:line="250"/>
              <w:jc w:val="left"/>
            </w:pPr>
            <w:r>
              <w:rPr>
                <w:rFonts w:ascii="Calibri" w:cs="Calibri" w:eastAsia="Calibri" w:hAnsi="Calibri"/>
                <w:b/>
                <w:bCs/>
                <w:color w:val="FFFFFF"/>
                <w:sz w:val="16"/>
                <w:szCs w:val="16"/>
              </w:rPr>
              <w:t xml:space="preserve">Answer</w:t>
            </w:r>
          </w:p>
        </w:tc>
      </w:tr>
      <w:tr>
        <w:trPr>
          <w:cantSplit/>
          <w:tblHeader w:val="false"/>
        </w:trPr>
        <w:tc>
          <w:tcPr>
            <w:tcW w:type="dxa" w:w="31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Where does the 7.5 million come from?</w:t>
            </w:r>
          </w:p>
        </w:tc>
        <w:tc>
          <w:tcPr>
            <w:tcW w:type="dxa" w:w="62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66.9 full-time equivalents displaced at 112,000 loaded cost, which is 7,491,556. It is derived on the capacity screen, not typed in.</w:t>
            </w:r>
          </w:p>
        </w:tc>
      </w:tr>
      <w:tr>
        <w:trPr>
          <w:cantSplit/>
          <w:tblHeader w:val="false"/>
        </w:trPr>
        <w:tc>
          <w:tcPr>
            <w:tcW w:type="dxa" w:w="3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Why is MIRR lower than IRR?</w:t>
            </w:r>
          </w:p>
        </w:tc>
        <w:tc>
          <w:tcPr>
            <w:tcW w:type="dxa" w:w="6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IRR assumes you reinvest interim cash at 26.3 percent. MIRR assumes you reinvest at the 11.5 cost of capital, which is what actually happens.</w:t>
            </w:r>
          </w:p>
        </w:tc>
      </w:tr>
      <w:tr>
        <w:trPr>
          <w:cantSplit/>
          <w:tblHeader w:val="false"/>
        </w:trPr>
        <w:tc>
          <w:tcPr>
            <w:tcW w:type="dxa" w:w="31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Is the company real?</w:t>
            </w:r>
          </w:p>
        </w:tc>
        <w:tc>
          <w:tcPr>
            <w:tcW w:type="dxa" w:w="62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No, and the brief permits a hypothetical. The external data is real and cited. The vendor pricing is ours and the screen says so.</w:t>
            </w:r>
          </w:p>
        </w:tc>
      </w:tr>
      <w:tr>
        <w:trPr>
          <w:cantSplit/>
          <w:tblHeader w:val="false"/>
        </w:trPr>
        <w:tc>
          <w:tcPr>
            <w:tcW w:type="dxa" w:w="310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What if the AI is wrong?</w:t>
            </w:r>
          </w:p>
        </w:tc>
        <w:tc>
          <w:tcPr>
            <w:tcW w:type="dxa" w:w="6260"/>
            <w:shd w:fill="EEF3F8" w:color="auto" w:val="clear"/>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Then the commentary is wrong and the numbers are not, because the model never touches the arithmetic. Remove the key and the results are identical.</w:t>
            </w:r>
          </w:p>
        </w:tc>
      </w:tr>
      <w:tr>
        <w:trPr>
          <w:cantSplit/>
          <w:tblHeader w:val="false"/>
        </w:trPr>
        <w:tc>
          <w:tcPr>
            <w:tcW w:type="dxa" w:w="310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Why five of eight archetypes fail</w:t>
            </w:r>
          </w:p>
        </w:tc>
        <w:tc>
          <w:tcPr>
            <w:tcW w:type="dxa" w:w="6260"/>
            <w:tcMar>
              <w:top w:type="dxa" w:w="60"/>
              <w:left w:type="dxa" w:w="90"/>
              <w:bottom w:type="dxa" w:w="60"/>
              <w:right w:type="dxa" w:w="90"/>
            </w:tcMar>
          </w:tcPr>
          <w:p>
            <w:pPr>
              <w:spacing w:after="0" w:before="0" w:line="250"/>
              <w:jc w:val="left"/>
            </w:pPr>
            <w:r>
              <w:rPr>
                <w:rFonts w:ascii="Calibri" w:cs="Calibri" w:eastAsia="Calibri" w:hAnsi="Calibri"/>
                <w:color w:val="1F2937"/>
                <w:sz w:val="16"/>
                <w:szCs w:val="16"/>
              </w:rPr>
              <w:t xml:space="preserve">Because we did not tune the defaults to look good. A pack where everything is profitable would be demonstrating optimism, not an engine.</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spacing w:after="120"/>
      <w:jc w:val="right"/>
    </w:pPr>
    <w:r>
      <w:rPr>
        <w:rFonts w:ascii="Calibri" w:cs="Calibri" w:eastAsia="Calibri" w:hAnsi="Calibri"/>
        <w:color w:val="475569"/>
        <w:sz w:val="16"/>
        <w:szCs w:val="16"/>
      </w:rPr>
      <w:t xml:space="preserve">CapExIQ  |  Platform guide and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2026-08-02T14:31:11.654Z</dcterms:created>
  <dcterms:modified xsi:type="dcterms:W3CDTF">2026-08-02T14:31:11.654Z</dcterms:modified>
</cp:coreProperties>
</file>

<file path=docProps/custom.xml><?xml version="1.0" encoding="utf-8"?>
<Properties xmlns="http://schemas.openxmlformats.org/officeDocument/2006/custom-properties" xmlns:vt="http://schemas.openxmlformats.org/officeDocument/2006/docPropsVTypes"/>
</file>