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COUNSEL — the AI boardroom</w:t>
      </w:r>
    </w:p>
    <w:p>
      <w:r>
        <w:t>MGT 204 Design Thinking · SP Jain MAIB Term 4 · Krishna Mathur</w:t>
      </w:r>
    </w:p>
    <w:p>
      <w:pPr>
        <w:pStyle w:val="Heading1"/>
      </w:pPr>
      <w:r>
        <w:t>1. The problem</w:t>
      </w:r>
    </w:p>
    <w:p>
      <w:r>
        <w:t>Design thinking asks a team to diverge before it converges, but a solo founder or</w:t>
      </w:r>
    </w:p>
    <w:p>
      <w:r>
        <w:t>a student has no room of experts to argue with. COUNSEL provides one: five agents</w:t>
      </w:r>
    </w:p>
    <w:p>
      <w:r>
        <w:t>with distinct mandates — CFO, CMO, COO, Ethics Officer, Devil's Advocate —</w:t>
      </w:r>
    </w:p>
    <w:p>
      <w:r>
        <w:t>research a real decision with public data, debate it across the seven</w:t>
      </w:r>
    </w:p>
    <w:p>
      <w:r>
        <w:t>design-thinking stages, and produce a record: a decision memo, a dissent log, and</w:t>
      </w:r>
    </w:p>
    <w:p>
      <w:r>
        <w:t>an outcome ledger that scores each agent's calibration once reality answers.</w:t>
      </w:r>
    </w:p>
    <w:p>
      <w:r>
        <w:t>The demonstration decision is a real one: *should RAQIB pilot in a Dubai</w:t>
      </w:r>
    </w:p>
    <w:p>
      <w:r>
        <w:t>hypermarket or a Greenlam plant first?*</w:t>
      </w:r>
    </w:p>
    <w:p>
      <w:pPr>
        <w:pStyle w:val="Heading1"/>
      </w:pPr>
      <w:r>
        <w:t>2. What the system does, and what it refuses to do</w:t>
      </w:r>
    </w:p>
    <w:p>
      <w:r>
        <w:t>COUNSEL runs on zero paid inference. Local models first, free tiers behind them,</w:t>
      </w:r>
    </w:p>
    <w:p>
      <w:r>
        <w:t>and a deterministic stub as the terminal fallback so the entire test suite runs</w:t>
      </w:r>
    </w:p>
    <w:p>
      <w:r>
        <w:t>with no model and no network. Anthropic is present in the provider chain and</w:t>
      </w:r>
    </w:p>
    <w:p>
      <w:r>
        <w:t>permanently disabled — a refusal with a test behind it rather than an absence</w:t>
      </w:r>
    </w:p>
    <w:p>
      <w:r>
        <w:t>that reads as an oversight.</w:t>
      </w:r>
    </w:p>
    <w:p>
      <w:r>
        <w:t>No agent holds a tool that acts on the world. The five mandates hold `search` and</w:t>
      </w:r>
    </w:p>
    <w:p>
      <w:r>
        <w:t>`ask`; only the Facilitator can open or close a round. Every tool declares</w:t>
      </w:r>
    </w:p>
    <w:p>
      <w:r>
        <w:t>`side_effects` and a test asserts `False` across the whole registry, so a tool</w:t>
      </w:r>
    </w:p>
    <w:p>
      <w:r>
        <w:t>that wrote anywhere would fail the suite before it could fail a user.</w:t>
      </w:r>
    </w:p>
    <w:p>
      <w:pPr>
        <w:pStyle w:val="Heading1"/>
      </w:pPr>
      <w:r>
        <w:t>3. The design-thinking layer</w:t>
      </w:r>
    </w:p>
    <w:p>
      <w:pPr/>
      <w:r>
        <w:t>| Stage | What the room produces | The rule that binds it |</w:t>
      </w:r>
    </w:p>
    <w:p>
      <w:pPr/>
      <w:r>
        <w:t>|---|---|---|</w:t>
      </w:r>
    </w:p>
    <w:p>
      <w:pPr/>
      <w:r>
        <w:t>| Empathise | Cited observations | No solutions yet |</w:t>
      </w:r>
    </w:p>
    <w:p>
      <w:pPr/>
      <w:r>
        <w:t>| Define | One "How might we…" per seat | The schema rejects a framing that is not a question |</w:t>
      </w:r>
    </w:p>
    <w:p>
      <w:pPr/>
      <w:r>
        <w:t>| Ideate | One idea per seat | **No critique** — divergence collapses the moment someone evaluates |</w:t>
      </w:r>
    </w:p>
    <w:p>
      <w:pPr/>
      <w:r>
        <w:t>| Prototype | The smallest testable thing | Say what would count as success |</w:t>
      </w:r>
    </w:p>
    <w:p>
      <w:pPr/>
      <w:r>
        <w:t>| Test | Desirability / feasibility / viability | A seat must name its weakest axis, and the schema rejects it if that is not the lowest score |</w:t>
      </w:r>
    </w:p>
    <w:p>
      <w:pPr/>
      <w:r>
        <w:t>| Decide | Memo, dissent log, pre-mortem | Every number cites a source |</w:t>
      </w:r>
    </w:p>
    <w:p>
      <w:pPr/>
      <w:r>
        <w:t>| Learn | Outcome and Brier score | Name who was closest, including yourself |</w:t>
      </w:r>
    </w:p>
    <w:p>
      <w:r>
        <w:t>The mandates are prompt files a reader can open and disagree with. Each declares</w:t>
      </w:r>
    </w:p>
    <w:p>
      <w:r>
        <w:t>at least two **blind spots** — what it systematically under-weights — and the</w:t>
      </w:r>
    </w:p>
    <w:p>
      <w:r>
        <w:t>loader raises if one claims none. Divergence only works if the room's biases are</w:t>
      </w:r>
    </w:p>
    <w:p>
      <w:r>
        <w:t>on the table.</w:t>
      </w:r>
    </w:p>
    <w:p>
      <w:pPr>
        <w:pStyle w:val="Heading1"/>
      </w:pPr>
      <w:r>
        <w:t>4. What was measured</w:t>
      </w:r>
    </w:p>
    <w:p>
      <w:pPr>
        <w:pStyle w:val="Heading2"/>
      </w:pPr>
      <w:r>
        <w:t>4.1 The embedding model was chosen by measurement</w:t>
      </w:r>
    </w:p>
    <w:p>
      <w:pPr/>
      <w:r>
        <w:t>| Model | EN~HI | EN~AR | unrelated control |</w:t>
      </w:r>
    </w:p>
    <w:p>
      <w:pPr/>
      <w:r>
        <w:t>|---|---:|---:|---:|</w:t>
      </w:r>
    </w:p>
    <w:p>
      <w:pPr/>
      <w:r>
        <w:t>| bge-m3 | {embed.bge_en_hi} | {embed.bge_en_ar} | {embed.bge_control} |</w:t>
      </w:r>
    </w:p>
    <w:p>
      <w:pPr/>
      <w:r>
        <w:t>| nomic-embed-text | {embed.nomic_en_hi} | — | {embed.nomic_control} |</w:t>
      </w:r>
    </w:p>
    <w:p>
      <w:r>
        <w:t>`nomic-embed-text` is not merely weaker — its cross-lingual similarity sits</w:t>
      </w:r>
    </w:p>
    <w:p>
      <w:r>
        <w:t>**below** its own unrelated-pair score, so an Arabic query would rank an</w:t>
      </w:r>
    </w:p>
    <w:p>
      <w:r>
        <w:t>unrelated English chunk above the correct Arabic one and cite it. It is</w:t>
      </w:r>
    </w:p>
    <w:p>
      <w:r>
        <w:t>disqualified, and the spike script fails if it ever clears the bar.</w:t>
      </w:r>
    </w:p>
    <w:p>
      <w:pPr>
        <w:pStyle w:val="Heading2"/>
      </w:pPr>
      <w:r>
        <w:t>4.2 The agents fabricate sources, and prompting does not stop them</w:t>
      </w:r>
    </w:p>
    <w:p>
      <w:r>
        <w:t>Given no documents, all five mandates invented sources fluently — a Q3 footfall</w:t>
      </w:r>
    </w:p>
    <w:p>
      <w:r>
        <w:t>report, a Dubai Chamber statistic, a policy clause, a customer quote. None</w:t>
      </w:r>
    </w:p>
    <w:p>
      <w:r>
        <w:t>existed. Adding an explicit instruction not to invent citations was tried and</w:t>
      </w:r>
    </w:p>
    <w:p>
      <w:r>
        <w:t>measured: it fixed a related hallucination and **did not stop the fabrication**.</w:t>
      </w:r>
    </w:p>
    <w:p>
      <w:r>
        <w:t>That is the central finding of this project and the reason every guarantee in it</w:t>
      </w:r>
    </w:p>
    <w:p>
      <w:r>
        <w:t>is mechanical rather than prompted. A mandate told to cite will cite; only a</w:t>
      </w:r>
    </w:p>
    <w:p>
      <w:r>
        <w:t>check that opens the citation knows whether it resolves.</w:t>
      </w:r>
    </w:p>
    <w:p>
      <w:r>
        <w:t>The Auditor catches it: recall **{auditor.recall}** and a false-positive rate</w:t>
      </w:r>
    </w:p>
    <w:p>
      <w:r>
        <w:t>of **{auditor.fpr}** on {auditor.n_cases} seeded cases</w:t>
      </w:r>
    </w:p>
    <w:p>
      <w:r>
        <w:t>({auditor.n_breaches} breaches), and — the honest measurement —</w:t>
      </w:r>
    </w:p>
    <w:p>
      <w:r>
        <w:t>**{auditor.held_out_flagged} of {auditor.held_out_of}** real model turns</w:t>
      </w:r>
    </w:p>
    <w:p>
      <w:r>
        <w:t>flagged for a fabricated source on held-out data it was never tuned against.</w:t>
      </w:r>
    </w:p>
    <w:p>
      <w:pPr>
        <w:pStyle w:val="Heading2"/>
      </w:pPr>
      <w:r>
        <w:t>4.3 Performance</w:t>
      </w:r>
    </w:p>
    <w:p>
      <w:r>
        <w:t>A three-round debate took {debate.before_total} and now takes</w:t>
      </w:r>
    </w:p>
    <w:p>
      <w:r>
        <w:t>{debate.after_total}, against a target of {debate.target}. The cause was not</w:t>
      </w:r>
    </w:p>
    <w:p>
      <w:r>
        <w:t>the model: every seat was being handed the entire transcript each round, so the</w:t>
      </w:r>
    </w:p>
    <w:p>
      <w:r>
        <w:t>prompt and the wall clock both grew with the debate.</w:t>
      </w:r>
    </w:p>
    <w:p>
      <w:pPr>
        <w:pStyle w:val="Heading2"/>
      </w:pPr>
      <w:r>
        <w:t>4.4 The decision was too close to call, and the memo says so</w:t>
      </w:r>
    </w:p>
    <w:p>
      <w:r>
        <w:t>The room scored the hypermarket {decision.hypermarket} against the plant's</w:t>
      </w:r>
    </w:p>
    <w:p>
      <w:r>
        <w:t>{decision.plant} — a margin of **{decision.margin}** across five seats and</w:t>
      </w:r>
    </w:p>
    <w:p>
      <w:r>
        <w:t>three axes, which is inside the noise. Every seat then dissented from the</w:t>
      </w:r>
    </w:p>
    <w:p>
      <w:r>
        <w:t>recommendation those scores produced. The memo carries that contradiction above</w:t>
      </w:r>
    </w:p>
    <w:p>
      <w:r>
        <w:t>the ranking table rather than publishing a recommendation nobody supported.</w:t>
      </w:r>
    </w:p>
    <w:p>
      <w:r>
        <w:t>Two separate pieces of evidence would each have flipped the outcome on their own,</w:t>
      </w:r>
    </w:p>
    <w:p>
      <w:r>
        <w:t>which the counterfactual reports as *"the decision is not robust"*.</w:t>
      </w:r>
    </w:p>
    <w:p>
      <w:pPr>
        <w:pStyle w:val="Heading2"/>
      </w:pPr>
      <w:r>
        <w:t>4.5 Five agents do not argue unless a chair makes them</w:t>
      </w:r>
    </w:p>
    <w:p>
      <w:r>
        <w:t>Ten turns produced **{chamber.edges_before}** cross-references between seats;</w:t>
      </w:r>
    </w:p>
    <w:p>
      <w:r>
        <w:t>the only seat names in the transcript were self-references. An explicit</w:t>
      </w:r>
    </w:p>
    <w:p>
      <w:r>
        <w:t>facilitation rule — *name the seat whose argument you are answering* — moved that</w:t>
      </w:r>
    </w:p>
    <w:p>
      <w:r>
        <w:t>to **{chamber.edges_after}** in {chamber.turns} turns. Real, and small. No</w:t>
      </w:r>
    </w:p>
    <w:p>
      <w:r>
        <w:t>further prompt tuning was attempted, because tuning until the diagram looked</w:t>
      </w:r>
    </w:p>
    <w:p>
      <w:r>
        <w:t>busier would be optimising the visualisation rather than the debate.</w:t>
      </w:r>
    </w:p>
    <w:p>
      <w:pPr>
        <w:pStyle w:val="Heading1"/>
      </w:pPr>
      <w:r>
        <w:t>5. Security</w:t>
      </w:r>
    </w:p>
    <w:p>
      <w:r>
        <w:t>The OWASP LLM Top 10 is implemented as executable controls:</w:t>
      </w:r>
    </w:p>
    <w:p>
      <w:r>
        <w:t>**{owasp.covered}** risks covered by {owasp.assertions} assertions,</w:t>
      </w:r>
    </w:p>
    <w:p>
      <w:r>
        <w:t>**{owasp.gaps}** gaps, and two risks declared not applicable with their</w:t>
      </w:r>
    </w:p>
    <w:p>
      <w:r>
        <w:t>reasons. The scorecard is generated from the test names, so it cannot claim</w:t>
      </w:r>
    </w:p>
    <w:p>
      <w:r>
        <w:t>coverage a test does not provide — verified by renaming a control's tests away</w:t>
      </w:r>
    </w:p>
    <w:p>
      <w:r>
        <w:t>and confirming the row flips to a gap.</w:t>
      </w:r>
    </w:p>
    <w:p>
      <w:r>
        <w:t>Both attacks the brief names are asserted end to end: a poisoned uploaded</w:t>
      </w:r>
    </w:p>
    <w:p>
      <w:r>
        <w:t>document does not change which option the memo recommends, and a turn signed with</w:t>
      </w:r>
    </w:p>
    <w:p>
      <w:r>
        <w:t>the wrong key breaks the transcript's hash chain.</w:t>
      </w:r>
    </w:p>
    <w:p>
      <w:pPr>
        <w:pStyle w:val="Heading1"/>
      </w:pPr>
      <w:r>
        <w:t>6. Honest limitations</w:t>
      </w:r>
    </w:p>
    <w:p>
      <w:pPr>
        <w:pStyle w:val="ListBullet"/>
      </w:pPr>
      <w:r>
        <w:t>**The agents' expertise is prompt-defined.** The prompts are files the user can</w:t>
      </w:r>
    </w:p>
    <w:p>
      <w:r>
        <w:t xml:space="preserve">  open, which is the difference between admitting that and hiding it.</w:t>
      </w:r>
    </w:p>
    <w:p>
      <w:pPr>
        <w:pStyle w:val="ListBullet"/>
      </w:pPr>
      <w:r>
        <w:t>**A turn is speech; the memo is record.** COUNSEL does not stop a seat saying</w:t>
      </w:r>
    </w:p>
    <w:p>
      <w:r>
        <w:t xml:space="preserve">  something unsupported, any more than a boardroom does. It stops that claim</w:t>
      </w:r>
    </w:p>
    <w:p>
      <w:r>
        <w:t xml:space="preserve">  reaching the memo, and marks it where it was said.</w:t>
      </w:r>
    </w:p>
    <w:p>
      <w:pPr>
        <w:pStyle w:val="ListBullet"/>
      </w:pPr>
      <w:r>
        <w:t>**The counterfactual is arithmetic, not re-argument.** It reports how much of</w:t>
      </w:r>
    </w:p>
    <w:p>
      <w:r>
        <w:t xml:space="preserve">  the current decision rests on a source, not what the room would decide without</w:t>
      </w:r>
    </w:p>
    <w:p>
      <w:r>
        <w:t xml:space="preserve">  it.</w:t>
      </w:r>
    </w:p>
    <w:p>
      <w:pPr>
        <w:pStyle w:val="ListBullet"/>
      </w:pPr>
      <w:r>
        <w:t>**Calibration needs volume.** Brier scores are withheld below five outcomes.</w:t>
      </w:r>
    </w:p>
    <w:p>
      <w:pPr>
        <w:pStyle w:val="ListBullet"/>
      </w:pPr>
      <w:r>
        <w:t>**The citation gate rewards copying.** Requiring claims to stay close to the</w:t>
      </w:r>
    </w:p>
    <w:p>
      <w:r>
        <w:t xml:space="preserve">  source's wording makes the model quote. Duplicates are removed; relevance is</w:t>
      </w:r>
    </w:p>
    <w:p>
      <w:r>
        <w:t xml:space="preserve">  left to the reader, because a mechanical relevance filter would put one more</w:t>
      </w:r>
    </w:p>
    <w:p>
      <w:r>
        <w:t xml:space="preserve">  model judgement between the reader and the source.</w:t>
      </w:r>
    </w:p>
    <w:p>
      <w:pPr>
        <w:pStyle w:val="ListBullet"/>
      </w:pPr>
      <w:r>
        <w:t>**An 8B local model converges.** Several seats returned near-identical scores,</w:t>
      </w:r>
    </w:p>
    <w:p>
      <w:r>
        <w:t xml:space="preserve">  which is part of why the unanimous-dissent check exists.</w:t>
      </w:r>
    </w:p>
    <w:p>
      <w:pPr>
        <w:pStyle w:val="Heading1"/>
      </w:pPr>
      <w:r>
        <w:t>7. What it would take to become a product</w:t>
      </w:r>
    </w:p>
    <w:p>
      <w:r>
        <w:t>Real identities behind the RBAC roles; a signing key held where the application</w:t>
      </w:r>
    </w:p>
    <w:p>
      <w:r>
        <w:t>cannot read it, so the transcript resists a determined operator rather than only</w:t>
      </w:r>
    </w:p>
    <w:p>
      <w:r>
        <w:t>an accident; durable storage for the outcome ledger; and enough logged outcomes</w:t>
      </w:r>
    </w:p>
    <w:p>
      <w:r>
        <w:t>for calibration to mean anything. None of those change the architecture — they</w:t>
      </w:r>
    </w:p>
    <w:p>
      <w:r>
        <w:t>change where the trust boundary sits.</w:t>
      </w:r>
    </w:p>
    <w:p>
      <w:r>
        <w:t>---</w:t>
      </w:r>
    </w:p>
    <w:p>
      <w:r>
        <w:t>*Generated 2026-09-07 from docs/results/. Every figure in this document is read</w:t>
      </w:r>
    </w:p>
    <w:p>
      <w:r>
        <w:t>from a measurement file at build time; none is typed in.*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