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B7D97"/>
          <w:sz w:val="40"/>
        </w:rPr>
        <w:t>Statement of Contribution</w:t>
      </w:r>
    </w:p>
    <w:p>
      <w:pPr>
        <w:spacing w:after="40"/>
      </w:pPr>
      <w:r>
        <w:rPr>
          <w:b w:val="0"/>
          <w:i w:val="0"/>
          <w:color w:val="11161A"/>
          <w:sz w:val="24"/>
        </w:rPr>
        <w:t>SENTINEL-CXR — Uncertainty-Aware Chest Radiograph Triage</w:t>
      </w:r>
    </w:p>
    <w:p>
      <w:pPr>
        <w:spacing w:after="20"/>
      </w:pPr>
      <w:r>
        <w:rPr>
          <w:b w:val="0"/>
          <w:i w:val="0"/>
          <w:color w:val="5C666D"/>
          <w:sz w:val="20"/>
        </w:rPr>
        <w:t>Final Group Project · Deep Learning (MAIB AI 114)</w:t>
      </w:r>
    </w:p>
    <w:p>
      <w:pPr>
        <w:spacing w:after="280"/>
      </w:pPr>
      <w:r>
        <w:rPr>
          <w:b w:val="0"/>
          <w:i w:val="0"/>
          <w:color w:val="5C666D"/>
          <w:sz w:val="20"/>
        </w:rPr>
        <w:t>Prof Anshul Gupta · S P Jain School of Global Management, Dubai</w:t>
      </w:r>
    </w:p>
    <w:p>
      <w:pPr>
        <w:spacing w:after="240"/>
      </w:pPr>
      <w:r>
        <w:rPr>
          <w:b w:val="0"/>
          <w:i w:val="0"/>
          <w:color w:val="11161A"/>
          <w:sz w:val="21"/>
        </w:rPr>
        <w:t>The three members contributed equally in effort and each owned a distinct vertical of the system end to end. Work was divided by layer rather than by task so that every member carried a component from design through implementation to deployment, and could defend it independently. Design decisions, the evaluation protocol and the ethical analysis were agreed jointly before implementation began.</w:t>
      </w:r>
    </w:p>
    <w:tbl>
      <w:tblPr>
        <w:tblStyle w:val="TableGrid"/>
        <w:tblW w:type="auto" w:w="0"/>
        <w:tblLook w:firstColumn="1" w:firstRow="1" w:lastColumn="0" w:lastRow="0" w:noHBand="0" w:noVBand="1" w:val="04A0"/>
      </w:tblPr>
      <w:tblGrid>
        <w:gridCol w:w="3173"/>
        <w:gridCol w:w="3173"/>
        <w:gridCol w:w="3173"/>
      </w:tblGrid>
      <w:tr>
        <w:tc>
          <w:tcPr>
            <w:tcW w:type="dxa" w:w="2551"/>
            <w:shd w:val="clear" w:fill="1B7D97"/>
          </w:tcPr>
          <w:p>
            <w:r/>
            <w:r>
              <w:rPr>
                <w:b/>
                <w:color w:val="FFFFFF"/>
                <w:sz w:val="18"/>
              </w:rPr>
              <w:t>Member</w:t>
            </w:r>
          </w:p>
        </w:tc>
        <w:tc>
          <w:tcPr>
            <w:tcW w:type="dxa" w:w="1701"/>
            <w:shd w:val="clear" w:fill="1B7D97"/>
          </w:tcPr>
          <w:p>
            <w:r/>
            <w:r>
              <w:rPr>
                <w:b/>
                <w:color w:val="FFFFFF"/>
                <w:sz w:val="18"/>
              </w:rPr>
              <w:t>Student ID</w:t>
            </w:r>
          </w:p>
        </w:tc>
        <w:tc>
          <w:tcPr>
            <w:tcW w:type="dxa" w:w="4819"/>
            <w:shd w:val="clear" w:fill="1B7D97"/>
          </w:tcPr>
          <w:p>
            <w:r/>
            <w:r>
              <w:rPr>
                <w:b/>
                <w:color w:val="FFFFFF"/>
                <w:sz w:val="18"/>
              </w:rPr>
              <w:t>Ownership</w:t>
            </w:r>
          </w:p>
        </w:tc>
      </w:tr>
      <w:tr>
        <w:tc>
          <w:tcPr>
            <w:tcW w:type="dxa" w:w="2551"/>
          </w:tcPr>
          <w:p>
            <w:r/>
            <w:r>
              <w:rPr>
                <w:sz w:val="18"/>
              </w:rPr>
              <w:t>Krishna Mathur</w:t>
            </w:r>
          </w:p>
        </w:tc>
        <w:tc>
          <w:tcPr>
            <w:tcW w:type="dxa" w:w="1701"/>
          </w:tcPr>
          <w:p>
            <w:r/>
            <w:r>
              <w:rPr>
                <w:sz w:val="18"/>
              </w:rPr>
              <w:t>AS25DXB018</w:t>
            </w:r>
          </w:p>
        </w:tc>
        <w:tc>
          <w:tcPr>
            <w:tcW w:type="dxa" w:w="4819"/>
          </w:tcPr>
          <w:p>
            <w:r/>
            <w:r>
              <w:rPr>
                <w:sz w:val="18"/>
              </w:rPr>
              <w:t>Models, calibration and explainability</w:t>
            </w:r>
          </w:p>
        </w:tc>
      </w:tr>
      <w:tr>
        <w:tc>
          <w:tcPr>
            <w:tcW w:type="dxa" w:w="2551"/>
          </w:tcPr>
          <w:p>
            <w:r/>
            <w:r>
              <w:rPr>
                <w:sz w:val="18"/>
              </w:rPr>
              <w:t>Atharva Soundankar</w:t>
            </w:r>
          </w:p>
        </w:tc>
        <w:tc>
          <w:tcPr>
            <w:tcW w:type="dxa" w:w="1701"/>
          </w:tcPr>
          <w:p>
            <w:r/>
            <w:r>
              <w:rPr>
                <w:sz w:val="18"/>
              </w:rPr>
              <w:t>AS25DXB020</w:t>
            </w:r>
          </w:p>
        </w:tc>
        <w:tc>
          <w:tcPr>
            <w:tcW w:type="dxa" w:w="4819"/>
          </w:tcPr>
          <w:p>
            <w:r/>
            <w:r>
              <w:rPr>
                <w:sz w:val="18"/>
              </w:rPr>
              <w:t>Backend, deployment and evaluation</w:t>
            </w:r>
          </w:p>
        </w:tc>
      </w:tr>
      <w:tr>
        <w:tc>
          <w:tcPr>
            <w:tcW w:type="dxa" w:w="2551"/>
          </w:tcPr>
          <w:p>
            <w:r/>
            <w:r>
              <w:rPr>
                <w:sz w:val="18"/>
              </w:rPr>
              <w:t>Yash Petkar</w:t>
            </w:r>
          </w:p>
        </w:tc>
        <w:tc>
          <w:tcPr>
            <w:tcW w:type="dxa" w:w="1701"/>
          </w:tcPr>
          <w:p>
            <w:r/>
            <w:r>
              <w:rPr>
                <w:sz w:val="18"/>
              </w:rPr>
              <w:t>AS25DXB021</w:t>
            </w:r>
          </w:p>
        </w:tc>
        <w:tc>
          <w:tcPr>
            <w:tcW w:type="dxa" w:w="4819"/>
          </w:tcPr>
          <w:p>
            <w:r/>
            <w:r>
              <w:rPr>
                <w:sz w:val="18"/>
              </w:rPr>
              <w:t>Interface, dashboard and fairness reporting</w:t>
            </w:r>
          </w:p>
        </w:tc>
      </w:tr>
    </w:tbl>
    <w:p/>
    <w:p>
      <w:pPr>
        <w:spacing w:after="20"/>
      </w:pPr>
      <w:r>
        <w:rPr>
          <w:b/>
          <w:i w:val="0"/>
          <w:color w:val="1B7D97"/>
          <w:sz w:val="26"/>
        </w:rPr>
        <w:t>Krishna Mathur — AS25DXB018</w:t>
      </w:r>
    </w:p>
    <w:p>
      <w:pPr>
        <w:spacing w:after="120"/>
      </w:pPr>
      <w:r>
        <w:rPr>
          <w:b w:val="0"/>
          <w:i/>
          <w:color w:val="5C666D"/>
          <w:sz w:val="20"/>
        </w:rPr>
        <w:t>Models, calibration and explainability</w:t>
      </w:r>
    </w:p>
    <w:p>
      <w:pPr>
        <w:pStyle w:val="ListBullet"/>
        <w:spacing w:after="40"/>
      </w:pPr>
      <w:r>
        <w:rPr>
          <w:sz w:val="20"/>
        </w:rPr>
        <w:t>Classification backbone: DenseNet-121 adaptation to single-channel input, preserving the pretrained RGB filters by summing rather than discarding them.</w:t>
      </w:r>
    </w:p>
    <w:p>
      <w:pPr>
        <w:pStyle w:val="ListBullet"/>
        <w:spacing w:after="40"/>
      </w:pPr>
      <w:r>
        <w:rPr>
          <w:sz w:val="20"/>
        </w:rPr>
        <w:t>ONNX export and int8 quantisation of the deployed classifier, including the verification harness that refuses to ship a model which cannot execute.</w:t>
      </w:r>
    </w:p>
    <w:p>
      <w:pPr>
        <w:pStyle w:val="ListBullet"/>
        <w:spacing w:after="40"/>
      </w:pPr>
      <w:r>
        <w:rPr>
          <w:sz w:val="20"/>
        </w:rPr>
        <w:t>Split conformal implementation with the finite-sample correction, the abstention rules, and the calibration run over 4,999 real radiographs.</w:t>
      </w:r>
    </w:p>
    <w:p>
      <w:pPr>
        <w:pStyle w:val="ListBullet"/>
        <w:spacing w:after="40"/>
      </w:pPr>
      <w:r>
        <w:rPr>
          <w:sz w:val="20"/>
        </w:rPr>
        <w:t>Class activation mapping computed inside the exported graph, giving the orchestrator explainability without a backward pass.</w:t>
      </w:r>
    </w:p>
    <w:p>
      <w:pPr>
        <w:pStyle w:val="ListBullet"/>
        <w:spacing w:after="40"/>
      </w:pPr>
      <w:r>
        <w:rPr>
          <w:sz w:val="20"/>
        </w:rPr>
        <w:t>Uncertainty decomposition into aleatoric and epistemic components, and the test-time-augmentation fallback.</w:t>
      </w:r>
    </w:p>
    <w:p>
      <w:pPr>
        <w:pStyle w:val="ListBullet"/>
        <w:spacing w:after="40"/>
      </w:pPr>
      <w:r>
        <w:rPr>
          <w:sz w:val="20"/>
        </w:rPr>
        <w:t>The eleven training notebooks covering weeks 1–12 of the unit.</w:t>
      </w:r>
    </w:p>
    <w:p/>
    <w:p>
      <w:pPr>
        <w:ind w:left="227"/>
      </w:pPr>
      <w:r>
        <w:rPr>
          <w:i/>
          <w:color w:val="5C666D"/>
          <w:sz w:val="19"/>
        </w:rPr>
        <w:t>Judgement call: on discovering that the published checkpoint contains no dropout layers, rejected the option of injecting dropout at inference — which would have produced a number that looked like a Bayesian posterior but was not one — in favour of test-time augmentation, with the method used reported in every response.</w:t>
      </w:r>
    </w:p>
    <w:p/>
    <w:p>
      <w:pPr>
        <w:spacing w:after="20"/>
      </w:pPr>
      <w:r>
        <w:rPr>
          <w:b/>
          <w:i w:val="0"/>
          <w:color w:val="1B7D97"/>
          <w:sz w:val="26"/>
        </w:rPr>
        <w:t>Atharva Soundankar — AS25DXB020</w:t>
      </w:r>
    </w:p>
    <w:p>
      <w:pPr>
        <w:spacing w:after="120"/>
      </w:pPr>
      <w:r>
        <w:rPr>
          <w:b w:val="0"/>
          <w:i/>
          <w:color w:val="5C666D"/>
          <w:sz w:val="20"/>
        </w:rPr>
        <w:t>Backend, deployment and evaluation</w:t>
      </w:r>
    </w:p>
    <w:p>
      <w:pPr>
        <w:pStyle w:val="ListBullet"/>
        <w:spacing w:after="40"/>
      </w:pPr>
      <w:r>
        <w:rPr>
          <w:sz w:val="20"/>
        </w:rPr>
        <w:t>FastAPI orchestration service: authentication, study lifecycle, audit trail, and the analysis pipeline that sequences gate, classifier, conformal head, triage and reporting.</w:t>
      </w:r>
    </w:p>
    <w:p>
      <w:pPr>
        <w:pStyle w:val="ListBullet"/>
        <w:spacing w:after="40"/>
      </w:pPr>
      <w:r>
        <w:rPr>
          <w:sz w:val="20"/>
        </w:rPr>
        <w:t>Three-tier deployment across Vercel, Render and Hugging Face Spaces, and the graceful-degradation path that keeps the system diagnosing when the optional inference core is unavailable.</w:t>
      </w:r>
    </w:p>
    <w:p>
      <w:pPr>
        <w:pStyle w:val="ListBullet"/>
        <w:spacing w:after="40"/>
      </w:pPr>
      <w:r>
        <w:rPr>
          <w:sz w:val="20"/>
        </w:rPr>
        <w:t>The evaluation harness and CI safety gates: coverage must not regress and no pathology may escape the report-grounding filter.</w:t>
      </w:r>
    </w:p>
    <w:p>
      <w:pPr>
        <w:pStyle w:val="ListBullet"/>
        <w:spacing w:after="40"/>
      </w:pPr>
      <w:r>
        <w:rPr>
          <w:sz w:val="20"/>
        </w:rPr>
        <w:t>Resilience work: per-client rate limiting behind a proxy, self-reissuing demo sessions, and the diagnostics that report why a subsystem failed.</w:t>
      </w:r>
    </w:p>
    <w:p>
      <w:pPr>
        <w:pStyle w:val="ListBullet"/>
        <w:spacing w:after="40"/>
      </w:pPr>
      <w:r>
        <w:rPr>
          <w:sz w:val="20"/>
        </w:rPr>
        <w:t>83 automated tests across the conformal head, uncertainty, triage ordering, progression logic, grounding and the full API surface.</w:t>
      </w:r>
    </w:p>
    <w:p/>
    <w:p>
      <w:pPr>
        <w:ind w:left="227"/>
      </w:pPr>
      <w:r>
        <w:rPr>
          <w:i/>
          <w:color w:val="5C666D"/>
          <w:sz w:val="19"/>
        </w:rPr>
        <w:t>Judgement call: rather than treat a cold inference service as an outage, designed the system to answer immediately on a local quantised model and label the response as reduced — on the principle that a clinical user must always know which mode produced their result.</w:t>
      </w:r>
    </w:p>
    <w:p/>
    <w:p>
      <w:pPr>
        <w:spacing w:after="20"/>
      </w:pPr>
      <w:r>
        <w:rPr>
          <w:b/>
          <w:i w:val="0"/>
          <w:color w:val="1B7D97"/>
          <w:sz w:val="26"/>
        </w:rPr>
        <w:t>Yash Petkar — AS25DXB021</w:t>
      </w:r>
    </w:p>
    <w:p>
      <w:pPr>
        <w:spacing w:after="120"/>
      </w:pPr>
      <w:r>
        <w:rPr>
          <w:b w:val="0"/>
          <w:i/>
          <w:color w:val="5C666D"/>
          <w:sz w:val="20"/>
        </w:rPr>
        <w:t>Interface, dashboard and fairness reporting</w:t>
      </w:r>
    </w:p>
    <w:p>
      <w:pPr>
        <w:pStyle w:val="ListBullet"/>
        <w:spacing w:after="40"/>
      </w:pPr>
      <w:r>
        <w:rPr>
          <w:sz w:val="20"/>
        </w:rPr>
        <w:t>Clinical console: worklist, image viewer with window and level controls, and the tabbed analysis surface covering findings, explainability, progression, uncertainty and the drafted report.</w:t>
      </w:r>
    </w:p>
    <w:p>
      <w:pPr>
        <w:pStyle w:val="ListBullet"/>
        <w:spacing w:after="40"/>
      </w:pPr>
      <w:r>
        <w:rPr>
          <w:sz w:val="20"/>
        </w:rPr>
        <w:t>The confidence-as-chroma design system, in which colour saturation encodes model certainty and drains to an achromatic hatch at the abstention threshold.</w:t>
      </w:r>
    </w:p>
    <w:p>
      <w:pPr>
        <w:pStyle w:val="ListBullet"/>
        <w:spacing w:after="40"/>
      </w:pPr>
      <w:r>
        <w:rPr>
          <w:sz w:val="20"/>
        </w:rPr>
        <w:t>Analytics dashboard with cross-filtering, the model-health panel, and the audit record with sorting, search and export.</w:t>
      </w:r>
    </w:p>
    <w:p>
      <w:pPr>
        <w:pStyle w:val="ListBullet"/>
        <w:spacing w:after="40"/>
      </w:pPr>
      <w:r>
        <w:rPr>
          <w:sz w:val="20"/>
        </w:rPr>
        <w:t>The fairness surface: disaggregated equalised-odds reporting, including the presentation of a breach as a breach.</w:t>
      </w:r>
    </w:p>
    <w:p>
      <w:pPr>
        <w:pStyle w:val="ListBullet"/>
        <w:spacing w:after="40"/>
      </w:pPr>
      <w:r>
        <w:rPr>
          <w:sz w:val="20"/>
        </w:rPr>
        <w:t>Accessibility and progressive enhancement: reduced-motion support, keyboard navigation, a full light theme, and a 3D hero that degrades to 2D without WebGL.</w:t>
      </w:r>
    </w:p>
    <w:p/>
    <w:p>
      <w:pPr>
        <w:ind w:left="227"/>
      </w:pPr>
      <w:r>
        <w:rPr>
          <w:i/>
          <w:color w:val="5C666D"/>
          <w:sz w:val="19"/>
        </w:rPr>
        <w:t>Judgement call: chose a ranked bar list over a radar chart for the pathology profile, because radar implies its axes are commensurable and ordered, and fourteen unrelated pathologies are neither — accepting a less striking chart in exchange for one that does not imply a false relationship.</w:t>
      </w:r>
    </w:p>
    <w:p/>
    <w:p>
      <w:pPr>
        <w:spacing w:after="80"/>
      </w:pPr>
      <w:r>
        <w:rPr>
          <w:b/>
          <w:i w:val="0"/>
          <w:color w:val="1B7D97"/>
          <w:sz w:val="26"/>
        </w:rPr>
        <w:t>Shared work</w:t>
      </w:r>
    </w:p>
    <w:p>
      <w:pPr>
        <w:pStyle w:val="ListBullet"/>
        <w:spacing w:after="40"/>
      </w:pPr>
      <w:r>
        <w:rPr>
          <w:sz w:val="20"/>
        </w:rPr>
        <w:t>The design specification, evaluation protocol and abstention thresholds were agreed jointly before implementation, so that no result could be selected after the fact.</w:t>
      </w:r>
    </w:p>
    <w:p>
      <w:pPr>
        <w:pStyle w:val="ListBullet"/>
        <w:spacing w:after="40"/>
      </w:pPr>
      <w:r>
        <w:rPr>
          <w:sz w:val="20"/>
        </w:rPr>
        <w:t>The ethical analysis, including the decision to report the fairness breach rather than adjust the tolerance to accommodate it.</w:t>
      </w:r>
    </w:p>
    <w:p>
      <w:pPr>
        <w:pStyle w:val="ListBullet"/>
        <w:spacing w:after="40"/>
      </w:pPr>
      <w:r>
        <w:rPr>
          <w:sz w:val="20"/>
        </w:rPr>
        <w:t>The report, both presentations and the viva preparation.</w:t>
      </w:r>
    </w:p>
    <w:p/>
    <w:p>
      <w:pPr>
        <w:spacing w:after="80"/>
      </w:pPr>
      <w:r>
        <w:rPr>
          <w:b/>
          <w:i w:val="0"/>
          <w:color w:val="1B7D97"/>
          <w:sz w:val="26"/>
        </w:rPr>
        <w:t>Declaration</w:t>
      </w:r>
    </w:p>
    <w:p>
      <w:pPr>
        <w:spacing w:after="360"/>
      </w:pPr>
      <w:r>
        <w:rPr>
          <w:b w:val="0"/>
          <w:i w:val="0"/>
          <w:color w:val="11161A"/>
          <w:sz w:val="20"/>
        </w:rPr>
        <w:t>We confirm that this submission is our own work. The deployed classifier uses publicly released TorchXRayVision weights, which is stated in the report, the model card, the repository and the application itself; no result is presented as the outcome of our own training run. All measured figures were produced by running the system on public NIH ChestX-ray14 data and are reported as measured, including the two that do not meet the targets we set ourselves.</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sz w:val="18"/>
              </w:rPr>
              <w:t>Krishna Mathur</w:t>
              <w:br/>
              <w:t>AS25DXB018</w:t>
            </w:r>
          </w:p>
        </w:tc>
        <w:tc>
          <w:tcPr>
            <w:tcW w:type="dxa" w:w="3173"/>
          </w:tcPr>
          <w:p>
            <w:r/>
            <w:r>
              <w:rPr>
                <w:sz w:val="18"/>
              </w:rPr>
              <w:t>Atharva Soundankar</w:t>
              <w:br/>
              <w:t>AS25DXB020</w:t>
            </w:r>
          </w:p>
        </w:tc>
        <w:tc>
          <w:tcPr>
            <w:tcW w:type="dxa" w:w="3173"/>
          </w:tcPr>
          <w:p>
            <w:r/>
            <w:r>
              <w:rPr>
                <w:sz w:val="18"/>
              </w:rPr>
              <w:t>Yash Petkar</w:t>
              <w:br/>
              <w:t>AS25DXB021</w:t>
            </w:r>
          </w:p>
        </w:tc>
      </w:tr>
      <w:tr>
        <w:tc>
          <w:tcPr>
            <w:tcW w:type="dxa" w:w="3173"/>
          </w:tcPr>
          <w:p>
            <w:r/>
            <w:r>
              <w:rPr>
                <w:color w:val="5C666D"/>
                <w:sz w:val="16"/>
              </w:rPr>
              <w:br/>
              <w:t>Signature / date</w:t>
              <w:br/>
            </w:r>
          </w:p>
        </w:tc>
        <w:tc>
          <w:tcPr>
            <w:tcW w:type="dxa" w:w="3173"/>
          </w:tcPr>
          <w:p>
            <w:r/>
            <w:r>
              <w:rPr>
                <w:color w:val="5C666D"/>
                <w:sz w:val="16"/>
              </w:rPr>
              <w:br/>
              <w:t>Signature / date</w:t>
              <w:br/>
            </w:r>
          </w:p>
        </w:tc>
        <w:tc>
          <w:tcPr>
            <w:tcW w:type="dxa" w:w="3173"/>
          </w:tcPr>
          <w:p>
            <w:r/>
            <w:r>
              <w:rPr>
                <w:color w:val="5C666D"/>
                <w:sz w:val="16"/>
              </w:rPr>
              <w:br/>
              <w:t>Signature / date</w:t>
              <w:br/>
            </w:r>
          </w:p>
        </w:tc>
      </w:tr>
    </w:tbl>
    <w:p/>
    <w:p>
      <w:pPr>
        <w:jc w:val="center"/>
      </w:pPr>
      <w:r>
        <w:rPr>
          <w:b w:val="0"/>
          <w:i/>
          <w:color w:val="5C666D"/>
          <w:sz w:val="17"/>
        </w:rPr>
        <w:t>Research prototype. Not a medical device. Must not be used for clinical decisions.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116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