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F4E79"/>
          <w:sz w:val="68"/>
        </w:rPr>
        <w:t>UPLIFT / MAWSIM</w:t>
      </w:r>
    </w:p>
    <w:p>
      <w:pPr>
        <w:jc w:val="center"/>
      </w:pPr>
      <w:r>
        <w:rPr>
          <w:i/>
          <w:color w:val="5A6B7B"/>
          <w:sz w:val="25"/>
        </w:rPr>
        <w:t>Demand-aware promo planning for Dubai retail</w:t>
      </w:r>
    </w:p>
    <w:p/>
    <w:p>
      <w:pPr>
        <w:jc w:val="center"/>
      </w:pPr>
      <w:r>
        <w:rPr>
          <w:b/>
          <w:color w:val="1B2A3A"/>
          <w:sz w:val="24"/>
        </w:rPr>
        <w:t>AI 208 — AI in Marketing</w:t>
      </w:r>
    </w:p>
    <w:p>
      <w:pPr>
        <w:jc w:val="center"/>
      </w:pPr>
      <w:r>
        <w:rPr>
          <w:b w:val="0"/>
          <w:color w:val="5A6B7B"/>
          <w:sz w:val="23"/>
        </w:rPr>
        <w:t>Krishna Mathur</w:t>
      </w:r>
    </w:p>
    <w:p>
      <w:pPr>
        <w:jc w:val="center"/>
      </w:pPr>
      <w:r>
        <w:rPr>
          <w:b w:val="0"/>
          <w:color w:val="5A6B7B"/>
          <w:sz w:val="23"/>
        </w:rPr>
        <w:t>SP Jain School of Global Management — MAIB, Term 4</w:t>
      </w:r>
    </w:p>
    <w:p>
      <w:pPr>
        <w:jc w:val="center"/>
      </w:pPr>
      <w:r>
        <w:rPr>
          <w:b w:val="0"/>
          <w:color w:val="5A6B7B"/>
          <w:sz w:val="21"/>
        </w:rPr>
        <w:t>08 September 2026</w:t>
      </w:r>
    </w:p>
    <w:p/>
    <w:p/>
    <w:p/>
    <w:p/>
    <w:p/>
    <w:p/>
    <w:tbl>
      <w:tblPr>
        <w:tblW w:type="auto" w:w="0"/>
        <w:jc w:val="center"/>
        <w:tblLook w:firstColumn="1" w:firstRow="1" w:lastColumn="0" w:lastRow="0" w:noHBand="0" w:noVBand="1" w:val="04A0"/>
        <w:tblBorders>
          <w:top w:val="single" w:sz="6" w:color="D6DEE6"/>
          <w:bottom w:val="single" w:sz="6" w:color="D6DEE6"/>
          <w:insideH w:val="single" w:sz="6" w:color="D6DEE6"/>
          <w:left w:val="none"/>
          <w:right w:val="none"/>
          <w:insideV w:val="none"/>
        </w:tblBorders>
      </w:tblPr>
      <w:tblGrid>
        <w:gridCol w:w="9292"/>
      </w:tblGrid>
      <w:tr>
        <w:tc>
          <w:tcPr>
            <w:tcW w:type="dxa" w:w="8504"/>
            <w:shd w:val="clear" w:color="auto" w:fill="EEF3F7"/>
          </w:tcPr>
          <w:p>
            <w:pPr>
              <w:jc w:val="center"/>
            </w:pPr>
            <w:r>
              <w:rPr>
                <w:color w:val="5A6B7B"/>
                <w:sz w:val="19"/>
              </w:rPr>
              <w:t>SIDRA is a fictional brand invented for this coursework, and its footfall series is generated. Every figure in this document is read from docs/results/ by scripts/build_report.py rather than typed.</w:t>
            </w:r>
          </w:p>
        </w:tc>
      </w:tr>
    </w:tbl>
    <w:p>
      <w:r>
        <w:br w:type="page"/>
      </w:r>
    </w:p>
    <w:p>
      <w:r>
        <w:rPr>
          <w:rFonts w:ascii="Arial" w:hAnsi="Arial"/>
          <w:b/>
          <w:color w:val="1F4E79"/>
          <w:sz w:val="34"/>
        </w:rPr>
        <w:t>Contents</w:t>
      </w:r>
    </w:p>
    <w:p/>
    <w:p>
      <w:r>
        <w:fldChar w:fldCharType="begin"/>
        <w:instrText xml:space="preserve">TOC \o "1-2" \h \z \u</w:instrText>
        <w:fldChar w:fldCharType="separate"/>
        <w:t>Right-click and choose Update Field to build the contents.</w:t>
        <w:fldChar w:fldCharType="end"/>
      </w:r>
    </w:p>
    <w:p>
      <w:r>
        <w:br w:type="page"/>
      </w:r>
    </w:p>
    <w:p>
      <w:pPr>
        <w:pStyle w:val="Heading1"/>
      </w:pPr>
      <w:r>
        <w:t>Executive summary</w:t>
      </w:r>
    </w:p>
    <w:p>
      <w:r>
        <w:t>MAWSIM forecasts hourly footfall for four SIDRA sites in Dubai from exogenous drivers — weather, events, public holidays and school terms — plans promotions against that forecast, checks every creative claim against cited food-advertising rules, and measures incremental lift rather than clicks.</w:t>
      </w:r>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810"/>
        <w:gridCol w:w="5261"/>
      </w:tblGrid>
      <w:tr>
        <w:tc>
          <w:tcPr>
            <w:tcW w:type="dxa" w:w="3810"/>
            <w:shd w:val="clear" w:color="auto" w:fill="EEF3F7"/>
          </w:tcPr>
          <w:p>
            <w:pPr>
              <w:spacing w:after="40"/>
            </w:pPr>
            <w:r>
              <w:rPr>
                <w:rFonts w:ascii="Arial" w:hAnsi="Arial"/>
                <w:b/>
                <w:color w:val="1F4E79"/>
                <w:sz w:val="18"/>
              </w:rPr>
              <w:t>What was claimed</w:t>
            </w:r>
          </w:p>
        </w:tc>
        <w:tc>
          <w:tcPr>
            <w:tcW w:type="dxa" w:w="5261"/>
            <w:shd w:val="clear" w:color="auto" w:fill="EEF3F7"/>
          </w:tcPr>
          <w:p>
            <w:pPr>
              <w:spacing w:after="40"/>
            </w:pPr>
            <w:r>
              <w:rPr>
                <w:rFonts w:ascii="Arial" w:hAnsi="Arial"/>
                <w:b/>
                <w:color w:val="1F4E79"/>
                <w:sz w:val="18"/>
              </w:rPr>
              <w:t>What was measured</w:t>
            </w:r>
          </w:p>
        </w:tc>
      </w:tr>
      <w:tr>
        <w:tc>
          <w:tcPr>
            <w:tcW w:type="dxa" w:w="3810"/>
          </w:tcPr>
          <w:p>
            <w:pPr>
              <w:spacing w:after="40"/>
            </w:pPr>
            <w:r>
              <w:rPr>
                <w:sz w:val="18"/>
              </w:rPr>
              <w:t>The forecast beats a seasonal-naive baseline</w:t>
            </w:r>
          </w:p>
        </w:tc>
        <w:tc>
          <w:tcPr>
            <w:tcW w:type="dxa" w:w="5261"/>
          </w:tcPr>
          <w:p>
            <w:pPr>
              <w:spacing w:after="40"/>
            </w:pPr>
            <w:r>
              <w:rPr>
                <w:b/>
                <w:sz w:val="18"/>
              </w:rPr>
              <w:t>36 of 36 site-weeks</w:t>
            </w:r>
            <w:r>
              <w:rPr>
                <w:sz w:val="18"/>
              </w:rPr>
              <w:t>, MAE 28%–34% lower</w:t>
            </w:r>
          </w:p>
        </w:tc>
      </w:tr>
      <w:tr>
        <w:tc>
          <w:tcPr>
            <w:tcW w:type="dxa" w:w="3810"/>
          </w:tcPr>
          <w:p>
            <w:pPr>
              <w:spacing w:after="40"/>
            </w:pPr>
            <w:r>
              <w:rPr>
                <w:sz w:val="18"/>
              </w:rPr>
              <w:t>Lift estimates recover a known effect</w:t>
            </w:r>
          </w:p>
        </w:tc>
        <w:tc>
          <w:tcPr>
            <w:tcW w:type="dxa" w:w="5261"/>
          </w:tcPr>
          <w:p>
            <w:pPr>
              <w:spacing w:after="40"/>
            </w:pPr>
            <w:r>
              <w:rPr>
                <w:sz w:val="18"/>
              </w:rPr>
              <w:t xml:space="preserve">five injections recovered within </w:t>
            </w:r>
            <w:r>
              <w:rPr>
                <w:b/>
                <w:sz w:val="18"/>
              </w:rPr>
              <w:t>2.61 points</w:t>
            </w:r>
            <w:r>
              <w:rPr>
                <w:sz w:val="18"/>
              </w:rPr>
              <w:t xml:space="preserve"> of a five-point tolerance</w:t>
            </w:r>
          </w:p>
        </w:tc>
      </w:tr>
      <w:tr>
        <w:tc>
          <w:tcPr>
            <w:tcW w:type="dxa" w:w="3810"/>
          </w:tcPr>
          <w:p>
            <w:pPr>
              <w:spacing w:after="40"/>
            </w:pPr>
            <w:r>
              <w:rPr>
                <w:sz w:val="18"/>
              </w:rPr>
              <w:t>Segments are stable</w:t>
            </w:r>
          </w:p>
        </w:tc>
        <w:tc>
          <w:tcPr>
            <w:tcW w:type="dxa" w:w="5261"/>
          </w:tcPr>
          <w:p>
            <w:pPr>
              <w:spacing w:after="40"/>
            </w:pPr>
            <w:r>
              <w:rPr>
                <w:b/>
                <w:sz w:val="18"/>
              </w:rPr>
              <w:t>91.8%</w:t>
            </w:r>
            <w:r>
              <w:rPr>
                <w:sz w:val="18"/>
              </w:rPr>
              <w:t xml:space="preserve"> keep their segment across resamples</w:t>
            </w:r>
          </w:p>
        </w:tc>
      </w:tr>
      <w:tr>
        <w:tc>
          <w:tcPr>
            <w:tcW w:type="dxa" w:w="3810"/>
          </w:tcPr>
          <w:p>
            <w:pPr>
              <w:spacing w:after="40"/>
            </w:pPr>
            <w:r>
              <w:rPr>
                <w:sz w:val="18"/>
              </w:rPr>
              <w:t>Compliance catches violations in three languages</w:t>
            </w:r>
          </w:p>
        </w:tc>
        <w:tc>
          <w:tcPr>
            <w:tcW w:type="dxa" w:w="5261"/>
          </w:tcPr>
          <w:p>
            <w:pPr>
              <w:spacing w:after="40"/>
            </w:pPr>
            <w:r>
              <w:rPr>
                <w:sz w:val="18"/>
              </w:rPr>
              <w:t xml:space="preserve">recall and precision </w:t>
            </w:r>
            <w:r>
              <w:rPr>
                <w:b/>
                <w:sz w:val="18"/>
              </w:rPr>
              <w:t>100%</w:t>
            </w:r>
            <w:r>
              <w:rPr>
                <w:sz w:val="18"/>
              </w:rPr>
              <w:t xml:space="preserve"> in the worst language</w:t>
            </w:r>
          </w:p>
        </w:tc>
      </w:tr>
      <w:tr>
        <w:tc>
          <w:tcPr>
            <w:tcW w:type="dxa" w:w="3810"/>
          </w:tcPr>
          <w:p>
            <w:pPr>
              <w:spacing w:after="40"/>
            </w:pPr>
            <w:r>
              <w:rPr>
                <w:sz w:val="18"/>
              </w:rPr>
              <w:t>Retrieval refuses what it cannot cite</w:t>
            </w:r>
          </w:p>
        </w:tc>
        <w:tc>
          <w:tcPr>
            <w:tcW w:type="dxa" w:w="5261"/>
          </w:tcPr>
          <w:p>
            <w:pPr>
              <w:spacing w:after="40"/>
            </w:pPr>
            <w:r>
              <w:rPr>
                <w:b/>
                <w:sz w:val="18"/>
              </w:rPr>
              <w:t>10/10</w:t>
            </w:r>
            <w:r>
              <w:rPr>
                <w:sz w:val="18"/>
              </w:rPr>
              <w:t xml:space="preserve"> out-of-domain questions refused</w:t>
            </w:r>
          </w:p>
        </w:tc>
      </w:tr>
      <w:tr>
        <w:tc>
          <w:tcPr>
            <w:tcW w:type="dxa" w:w="3810"/>
          </w:tcPr>
          <w:p>
            <w:pPr>
              <w:spacing w:after="40"/>
            </w:pPr>
            <w:r>
              <w:rPr>
                <w:sz w:val="18"/>
              </w:rPr>
              <w:t>The safety claims survive attack</w:t>
            </w:r>
          </w:p>
        </w:tc>
        <w:tc>
          <w:tcPr>
            <w:tcW w:type="dxa" w:w="5261"/>
          </w:tcPr>
          <w:p>
            <w:pPr>
              <w:spacing w:after="40"/>
            </w:pPr>
            <w:r>
              <w:rPr>
                <w:b/>
                <w:sz w:val="18"/>
              </w:rPr>
              <w:t>48/48</w:t>
            </w:r>
            <w:r>
              <w:rPr>
                <w:sz w:val="18"/>
              </w:rPr>
              <w:t xml:space="preserve"> red-team attempts held</w:t>
            </w:r>
          </w:p>
        </w:tc>
      </w:tr>
    </w:tbl>
    <w:p/>
    <w:p>
      <w:r>
        <w:t xml:space="preserve">Three findings are worth more than the table. The forecast is </w:t>
      </w:r>
      <w:r>
        <w:rPr>
          <w:b/>
        </w:rPr>
        <w:t>worse than the baseline on sMAPE</w:t>
      </w:r>
      <w:r>
        <w:t xml:space="preserve"> and that is reported rather than dropped. The lift estimator carries a </w:t>
      </w:r>
      <w:r>
        <w:rPr>
          <w:b/>
        </w:rPr>
        <w:t>-3.5% bias</w:t>
      </w:r>
      <w:r>
        <w:t xml:space="preserve"> on a window where nothing happened, measured on a placebo and subtracted. And the retrieval layer's embeddings were </w:t>
      </w:r>
      <w:r>
        <w:rPr>
          <w:b/>
        </w:rPr>
        <w:t>denied the power to answer on their own</w:t>
      </w:r>
      <w:r>
        <w:t>, because the similarity bar that would admit a genuine Arabic question also admits "send me the invoice".</w:t>
      </w:r>
    </w:p>
    <w:p>
      <w:r>
        <w:t xml:space="preserve">The brand is fictional and the footfall is generated. What is not generated is the evaluation: every model is scored against a baseline on held-out time, and every number in this document is read from </w:t>
      </w:r>
      <w:r>
        <w:rPr>
          <w:rFonts w:ascii="Consolas" w:hAnsi="Consolas"/>
          <w:color w:val="5A6B7B"/>
          <w:sz w:val="18"/>
        </w:rPr>
        <w:t>docs/results/</w:t>
      </w:r>
      <w:r>
        <w:t xml:space="preserve"> rather than typed.</w:t>
      </w:r>
    </w:p>
    <w:p>
      <w:pPr>
        <w:pStyle w:val="Heading1"/>
      </w:pPr>
      <w:r>
        <w:t>1. The problem</w:t>
      </w:r>
    </w:p>
    <w:p>
      <w:r>
        <w:t>Dubai retail demand swings with events, weather, holidays and school calendars, and promotions are planned on gut feel. MAWSIM forecasts demand per site, plans promotions against that forecast, checks every claim against cited rules, and measures incremental lift rather than clicks.</w:t>
      </w:r>
    </w:p>
    <w:p>
      <w:r>
        <w:t xml:space="preserve">The reason to forecast </w:t>
      </w:r>
      <w:r>
        <w:rPr>
          <w:b/>
        </w:rPr>
        <w:t>per site</w:t>
      </w:r>
      <w:r>
        <w:t xml:space="preserve"> rather than per brand is measurable. All four SIDRA sites sit in neighbouring ERA5 grid cells and get the same weather. What differs is how they respond: Marina Walk is 54% outdoor seating and Al Barsha is fully enclosed, and the fitted evening temperature slopes order exactly by outdoor share across all four sites.</w:t>
      </w:r>
    </w:p>
    <w:p>
      <w:pPr>
        <w:pStyle w:val="Heading1"/>
      </w:pPr>
      <w:r>
        <w:t>2. Forecasting with exogenous drivers</w:t>
      </w:r>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810"/>
        <w:gridCol w:w="5261"/>
      </w:tblGrid>
      <w:tr>
        <w:tc>
          <w:tcPr>
            <w:tcW w:type="dxa" w:w="3810"/>
            <w:shd w:val="clear" w:color="auto" w:fill="EEF3F7"/>
          </w:tcPr>
          <w:p>
            <w:pPr>
              <w:spacing w:after="40"/>
            </w:pPr>
            <w:r>
              <w:rPr>
                <w:rFonts w:ascii="Arial" w:hAnsi="Arial"/>
                <w:b/>
                <w:color w:val="1F4E79"/>
                <w:sz w:val="18"/>
              </w:rPr>
            </w:r>
          </w:p>
        </w:tc>
        <w:tc>
          <w:tcPr>
            <w:tcW w:type="dxa" w:w="5261"/>
            <w:shd w:val="clear" w:color="auto" w:fill="EEF3F7"/>
          </w:tcPr>
          <w:p>
            <w:pPr>
              <w:spacing w:after="40"/>
            </w:pPr>
            <w:r>
              <w:rPr>
                <w:rFonts w:ascii="Arial" w:hAnsi="Arial"/>
                <w:b/>
                <w:color w:val="1F4E79"/>
                <w:sz w:val="18"/>
              </w:rPr>
            </w:r>
          </w:p>
        </w:tc>
      </w:tr>
      <w:tr>
        <w:tc>
          <w:tcPr>
            <w:tcW w:type="dxa" w:w="3810"/>
          </w:tcPr>
          <w:p>
            <w:pPr>
              <w:spacing w:after="40"/>
            </w:pPr>
            <w:r>
              <w:rPr>
                <w:sz w:val="18"/>
              </w:rPr>
              <w:t>Method</w:t>
            </w:r>
          </w:p>
        </w:tc>
        <w:tc>
          <w:tcPr>
            <w:tcW w:type="dxa" w:w="5261"/>
          </w:tcPr>
          <w:p>
            <w:pPr>
              <w:spacing w:after="40"/>
            </w:pPr>
            <w:r>
              <w:rPr>
                <w:sz w:val="18"/>
              </w:rPr>
              <w:t>GradientBoostingRegressor with absolute-error loss for the median and pinball loss at the 10th and 90th percentiles for the interval. Chronological holdout of 56 days; the baseline is seasonal naive — the same hour, same weekday, last week.</w:t>
            </w:r>
          </w:p>
        </w:tc>
      </w:tr>
      <w:tr>
        <w:tc>
          <w:tcPr>
            <w:tcW w:type="dxa" w:w="3810"/>
          </w:tcPr>
          <w:p>
            <w:pPr>
              <w:spacing w:after="40"/>
            </w:pPr>
            <w:r>
              <w:rPr>
                <w:sz w:val="18"/>
              </w:rPr>
              <w:t>Baseline</w:t>
            </w:r>
          </w:p>
        </w:tc>
        <w:tc>
          <w:tcPr>
            <w:tcW w:type="dxa" w:w="5261"/>
          </w:tcPr>
          <w:p>
            <w:pPr>
              <w:spacing w:after="40"/>
            </w:pPr>
            <w:r>
              <w:rPr>
                <w:sz w:val="18"/>
              </w:rPr>
              <w:t>Seasonal naive — same hour, same weekday, last week</w:t>
            </w:r>
          </w:p>
        </w:tc>
      </w:tr>
      <w:tr>
        <w:tc>
          <w:tcPr>
            <w:tcW w:type="dxa" w:w="3810"/>
          </w:tcPr>
          <w:p>
            <w:pPr>
              <w:spacing w:after="40"/>
            </w:pPr>
            <w:r>
              <w:rPr>
                <w:sz w:val="18"/>
              </w:rPr>
              <w:t>Result</w:t>
            </w:r>
          </w:p>
        </w:tc>
        <w:tc>
          <w:tcPr>
            <w:tcW w:type="dxa" w:w="5261"/>
          </w:tcPr>
          <w:p>
            <w:pPr>
              <w:spacing w:after="40"/>
            </w:pPr>
            <w:r>
              <w:rPr>
                <w:b/>
                <w:sz w:val="18"/>
              </w:rPr>
              <w:t>36 of 36 site-weeks beaten</w:t>
            </w:r>
            <w:r>
              <w:rPr>
                <w:sz w:val="18"/>
              </w:rPr>
              <w:t xml:space="preserve"> (100%) against a 70% target</w:t>
            </w:r>
          </w:p>
        </w:tc>
      </w:tr>
    </w:tbl>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628"/>
        <w:gridCol w:w="1361"/>
        <w:gridCol w:w="1361"/>
        <w:gridCol w:w="1361"/>
        <w:gridCol w:w="1361"/>
      </w:tblGrid>
      <w:tr>
        <w:tc>
          <w:tcPr>
            <w:tcW w:type="dxa" w:w="3628"/>
            <w:shd w:val="clear" w:color="auto" w:fill="EEF3F7"/>
          </w:tcPr>
          <w:p>
            <w:pPr>
              <w:spacing w:after="40"/>
            </w:pPr>
            <w:r>
              <w:rPr>
                <w:rFonts w:ascii="Arial" w:hAnsi="Arial"/>
                <w:b/>
                <w:color w:val="1F4E79"/>
                <w:sz w:val="18"/>
              </w:rPr>
              <w:t>Site</w:t>
            </w:r>
          </w:p>
        </w:tc>
        <w:tc>
          <w:tcPr>
            <w:tcW w:type="dxa" w:w="1361"/>
            <w:shd w:val="clear" w:color="auto" w:fill="EEF3F7"/>
          </w:tcPr>
          <w:p>
            <w:pPr>
              <w:spacing w:after="40"/>
            </w:pPr>
            <w:r>
              <w:rPr>
                <w:rFonts w:ascii="Arial" w:hAnsi="Arial"/>
                <w:b/>
                <w:color w:val="1F4E79"/>
                <w:sz w:val="18"/>
              </w:rPr>
              <w:t>MAE</w:t>
            </w:r>
          </w:p>
        </w:tc>
        <w:tc>
          <w:tcPr>
            <w:tcW w:type="dxa" w:w="1361"/>
            <w:shd w:val="clear" w:color="auto" w:fill="EEF3F7"/>
          </w:tcPr>
          <w:p>
            <w:pPr>
              <w:spacing w:after="40"/>
            </w:pPr>
            <w:r>
              <w:rPr>
                <w:rFonts w:ascii="Arial" w:hAnsi="Arial"/>
                <w:b/>
                <w:color w:val="1F4E79"/>
                <w:sz w:val="18"/>
              </w:rPr>
              <w:t>Baseline MAE</w:t>
            </w:r>
          </w:p>
        </w:tc>
        <w:tc>
          <w:tcPr>
            <w:tcW w:type="dxa" w:w="1361"/>
            <w:shd w:val="clear" w:color="auto" w:fill="EEF3F7"/>
          </w:tcPr>
          <w:p>
            <w:pPr>
              <w:spacing w:after="40"/>
            </w:pPr>
            <w:r>
              <w:rPr>
                <w:rFonts w:ascii="Arial" w:hAnsi="Arial"/>
                <w:b/>
                <w:color w:val="1F4E79"/>
                <w:sz w:val="18"/>
              </w:rPr>
              <w:t>Improvement</w:t>
            </w:r>
          </w:p>
        </w:tc>
        <w:tc>
          <w:tcPr>
            <w:tcW w:type="dxa" w:w="1361"/>
            <w:shd w:val="clear" w:color="auto" w:fill="EEF3F7"/>
          </w:tcPr>
          <w:p>
            <w:pPr>
              <w:spacing w:after="40"/>
            </w:pPr>
            <w:r>
              <w:rPr>
                <w:rFonts w:ascii="Arial" w:hAnsi="Arial"/>
                <w:b/>
                <w:color w:val="1F4E79"/>
                <w:sz w:val="18"/>
              </w:rPr>
              <w:t>80% coverage</w:t>
            </w:r>
          </w:p>
        </w:tc>
      </w:tr>
      <w:tr>
        <w:tc>
          <w:tcPr>
            <w:tcW w:type="dxa" w:w="3628"/>
          </w:tcPr>
          <w:p>
            <w:pPr>
              <w:spacing w:after="40"/>
            </w:pPr>
            <w:r>
              <w:rPr>
                <w:sz w:val="18"/>
              </w:rPr>
              <w:t>DXB-DTN</w:t>
            </w:r>
          </w:p>
        </w:tc>
        <w:tc>
          <w:tcPr>
            <w:tcW w:type="dxa" w:w="1361"/>
          </w:tcPr>
          <w:p>
            <w:pPr>
              <w:spacing w:after="40"/>
              <w:jc w:val="right"/>
            </w:pPr>
            <w:r>
              <w:rPr>
                <w:sz w:val="18"/>
              </w:rPr>
              <w:t>7.84</w:t>
            </w:r>
          </w:p>
        </w:tc>
        <w:tc>
          <w:tcPr>
            <w:tcW w:type="dxa" w:w="1361"/>
          </w:tcPr>
          <w:p>
            <w:pPr>
              <w:spacing w:after="40"/>
              <w:jc w:val="right"/>
            </w:pPr>
            <w:r>
              <w:rPr>
                <w:sz w:val="18"/>
              </w:rPr>
              <w:t>11.18</w:t>
            </w:r>
          </w:p>
        </w:tc>
        <w:tc>
          <w:tcPr>
            <w:tcW w:type="dxa" w:w="1361"/>
          </w:tcPr>
          <w:p>
            <w:pPr>
              <w:spacing w:after="40"/>
              <w:jc w:val="right"/>
            </w:pPr>
            <w:r>
              <w:rPr>
                <w:sz w:val="18"/>
              </w:rPr>
              <w:t>+29.9%</w:t>
            </w:r>
          </w:p>
        </w:tc>
        <w:tc>
          <w:tcPr>
            <w:tcW w:type="dxa" w:w="1361"/>
          </w:tcPr>
          <w:p>
            <w:pPr>
              <w:spacing w:after="40"/>
              <w:jc w:val="right"/>
            </w:pPr>
            <w:r>
              <w:rPr>
                <w:sz w:val="18"/>
              </w:rPr>
              <w:t>91%</w:t>
            </w:r>
          </w:p>
        </w:tc>
      </w:tr>
      <w:tr>
        <w:tc>
          <w:tcPr>
            <w:tcW w:type="dxa" w:w="3628"/>
          </w:tcPr>
          <w:p>
            <w:pPr>
              <w:spacing w:after="40"/>
            </w:pPr>
            <w:r>
              <w:rPr>
                <w:sz w:val="18"/>
              </w:rPr>
              <w:t>DXB-MOE</w:t>
            </w:r>
          </w:p>
        </w:tc>
        <w:tc>
          <w:tcPr>
            <w:tcW w:type="dxa" w:w="1361"/>
          </w:tcPr>
          <w:p>
            <w:pPr>
              <w:spacing w:after="40"/>
              <w:jc w:val="right"/>
            </w:pPr>
            <w:r>
              <w:rPr>
                <w:sz w:val="18"/>
              </w:rPr>
              <w:t>9.15</w:t>
            </w:r>
          </w:p>
        </w:tc>
        <w:tc>
          <w:tcPr>
            <w:tcW w:type="dxa" w:w="1361"/>
          </w:tcPr>
          <w:p>
            <w:pPr>
              <w:spacing w:after="40"/>
              <w:jc w:val="right"/>
            </w:pPr>
            <w:r>
              <w:rPr>
                <w:sz w:val="18"/>
              </w:rPr>
              <w:t>13.92</w:t>
            </w:r>
          </w:p>
        </w:tc>
        <w:tc>
          <w:tcPr>
            <w:tcW w:type="dxa" w:w="1361"/>
          </w:tcPr>
          <w:p>
            <w:pPr>
              <w:spacing w:after="40"/>
              <w:jc w:val="right"/>
            </w:pPr>
            <w:r>
              <w:rPr>
                <w:sz w:val="18"/>
              </w:rPr>
              <w:t>+34.3%</w:t>
            </w:r>
          </w:p>
        </w:tc>
        <w:tc>
          <w:tcPr>
            <w:tcW w:type="dxa" w:w="1361"/>
          </w:tcPr>
          <w:p>
            <w:pPr>
              <w:spacing w:after="40"/>
              <w:jc w:val="right"/>
            </w:pPr>
            <w:r>
              <w:rPr>
                <w:sz w:val="18"/>
              </w:rPr>
              <w:t>91%</w:t>
            </w:r>
          </w:p>
        </w:tc>
      </w:tr>
      <w:tr>
        <w:tc>
          <w:tcPr>
            <w:tcW w:type="dxa" w:w="3628"/>
          </w:tcPr>
          <w:p>
            <w:pPr>
              <w:spacing w:after="40"/>
            </w:pPr>
            <w:r>
              <w:rPr>
                <w:sz w:val="18"/>
              </w:rPr>
              <w:t>DXB-MAR</w:t>
            </w:r>
          </w:p>
        </w:tc>
        <w:tc>
          <w:tcPr>
            <w:tcW w:type="dxa" w:w="1361"/>
          </w:tcPr>
          <w:p>
            <w:pPr>
              <w:spacing w:after="40"/>
              <w:jc w:val="right"/>
            </w:pPr>
            <w:r>
              <w:rPr>
                <w:sz w:val="18"/>
              </w:rPr>
              <w:t>8.46</w:t>
            </w:r>
          </w:p>
        </w:tc>
        <w:tc>
          <w:tcPr>
            <w:tcW w:type="dxa" w:w="1361"/>
          </w:tcPr>
          <w:p>
            <w:pPr>
              <w:spacing w:after="40"/>
              <w:jc w:val="right"/>
            </w:pPr>
            <w:r>
              <w:rPr>
                <w:sz w:val="18"/>
              </w:rPr>
              <w:t>11.75</w:t>
            </w:r>
          </w:p>
        </w:tc>
        <w:tc>
          <w:tcPr>
            <w:tcW w:type="dxa" w:w="1361"/>
          </w:tcPr>
          <w:p>
            <w:pPr>
              <w:spacing w:after="40"/>
              <w:jc w:val="right"/>
            </w:pPr>
            <w:r>
              <w:rPr>
                <w:sz w:val="18"/>
              </w:rPr>
              <w:t>+28.0%</w:t>
            </w:r>
          </w:p>
        </w:tc>
        <w:tc>
          <w:tcPr>
            <w:tcW w:type="dxa" w:w="1361"/>
          </w:tcPr>
          <w:p>
            <w:pPr>
              <w:spacing w:after="40"/>
              <w:jc w:val="right"/>
            </w:pPr>
            <w:r>
              <w:rPr>
                <w:sz w:val="18"/>
              </w:rPr>
              <w:t>93%</w:t>
            </w:r>
          </w:p>
        </w:tc>
      </w:tr>
      <w:tr>
        <w:tc>
          <w:tcPr>
            <w:tcW w:type="dxa" w:w="3628"/>
          </w:tcPr>
          <w:p>
            <w:pPr>
              <w:spacing w:after="40"/>
            </w:pPr>
            <w:r>
              <w:rPr>
                <w:sz w:val="18"/>
              </w:rPr>
              <w:t>DXB-DEI</w:t>
            </w:r>
          </w:p>
        </w:tc>
        <w:tc>
          <w:tcPr>
            <w:tcW w:type="dxa" w:w="1361"/>
          </w:tcPr>
          <w:p>
            <w:pPr>
              <w:spacing w:after="40"/>
              <w:jc w:val="right"/>
            </w:pPr>
            <w:r>
              <w:rPr>
                <w:sz w:val="18"/>
              </w:rPr>
              <w:t>4.55</w:t>
            </w:r>
          </w:p>
        </w:tc>
        <w:tc>
          <w:tcPr>
            <w:tcW w:type="dxa" w:w="1361"/>
          </w:tcPr>
          <w:p>
            <w:pPr>
              <w:spacing w:after="40"/>
              <w:jc w:val="right"/>
            </w:pPr>
            <w:r>
              <w:rPr>
                <w:sz w:val="18"/>
              </w:rPr>
              <w:t>6.39</w:t>
            </w:r>
          </w:p>
        </w:tc>
        <w:tc>
          <w:tcPr>
            <w:tcW w:type="dxa" w:w="1361"/>
          </w:tcPr>
          <w:p>
            <w:pPr>
              <w:spacing w:after="40"/>
              <w:jc w:val="right"/>
            </w:pPr>
            <w:r>
              <w:rPr>
                <w:sz w:val="18"/>
              </w:rPr>
              <w:t>+28.7%</w:t>
            </w:r>
          </w:p>
        </w:tc>
        <w:tc>
          <w:tcPr>
            <w:tcW w:type="dxa" w:w="1361"/>
          </w:tcPr>
          <w:p>
            <w:pPr>
              <w:spacing w:after="40"/>
              <w:jc w:val="right"/>
            </w:pPr>
            <w:r>
              <w:rPr>
                <w:sz w:val="18"/>
              </w:rPr>
              <w:t>91%</w:t>
            </w:r>
          </w:p>
        </w:tc>
      </w:tr>
    </w:tbl>
    <w:p/>
    <w:p>
      <w:r>
        <w:t xml:space="preserve">Best absolute error: </w:t>
      </w:r>
      <w:r>
        <w:rPr>
          <w:b/>
        </w:rPr>
        <w:t>DXB-DEI at 4.55</w:t>
      </w:r>
      <w:r>
        <w:t>.</w:t>
      </w:r>
    </w:p>
    <w:p>
      <w:pPr>
        <w:pStyle w:val="Heading2"/>
      </w:pPr>
      <w:r>
        <w:t>What the model gets wrong, and why it is reported</w:t>
      </w:r>
    </w:p>
    <w:p>
      <w:r>
        <w:t>sMAPE is higher for the model than for the baseline on every site, and MAE is lower. Both are correct. Seasonal naive returns the exact integer count from the same hour last week, which on the many low-count hours is often exactly right and therefore proportionally perfect, while being further away in absolute terms. For staffing a cafe the absolute error is the decision-relevant one, so MAE is the gate and sMAPE is reported rather than optimised.</w:t>
      </w:r>
    </w:p>
    <w:p>
      <w:pPr>
        <w:pStyle w:val="Heading1"/>
      </w:pPr>
      <w:r>
        <w:t>3. Incrementality</w:t>
      </w:r>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810"/>
        <w:gridCol w:w="5261"/>
      </w:tblGrid>
      <w:tr>
        <w:tc>
          <w:tcPr>
            <w:tcW w:type="dxa" w:w="3810"/>
            <w:shd w:val="clear" w:color="auto" w:fill="EEF3F7"/>
          </w:tcPr>
          <w:p>
            <w:pPr>
              <w:spacing w:after="40"/>
            </w:pPr>
            <w:r>
              <w:rPr>
                <w:rFonts w:ascii="Arial" w:hAnsi="Arial"/>
                <w:b/>
                <w:color w:val="1F4E79"/>
                <w:sz w:val="18"/>
              </w:rPr>
            </w:r>
          </w:p>
        </w:tc>
        <w:tc>
          <w:tcPr>
            <w:tcW w:type="dxa" w:w="5261"/>
            <w:shd w:val="clear" w:color="auto" w:fill="EEF3F7"/>
          </w:tcPr>
          <w:p>
            <w:pPr>
              <w:spacing w:after="40"/>
            </w:pPr>
            <w:r>
              <w:rPr>
                <w:rFonts w:ascii="Arial" w:hAnsi="Arial"/>
                <w:b/>
                <w:color w:val="1F4E79"/>
                <w:sz w:val="18"/>
              </w:rPr>
            </w:r>
          </w:p>
        </w:tc>
      </w:tr>
      <w:tr>
        <w:tc>
          <w:tcPr>
            <w:tcW w:type="dxa" w:w="3810"/>
          </w:tcPr>
          <w:p>
            <w:pPr>
              <w:spacing w:after="40"/>
            </w:pPr>
            <w:r>
              <w:rPr>
                <w:sz w:val="18"/>
              </w:rPr>
              <w:t>Method</w:t>
            </w:r>
          </w:p>
        </w:tc>
        <w:tc>
          <w:tcPr>
            <w:tcW w:type="dxa" w:w="5261"/>
          </w:tcPr>
          <w:p>
            <w:pPr>
              <w:spacing w:after="40"/>
            </w:pPr>
            <w:r>
              <w:rPr>
                <w:sz w:val="18"/>
              </w:rPr>
              <w:t>Synthetic control with non-negative weights summing to one, fitted on 56 pre-period days; CUPED variance reduction; a permutation placebo across donor sites for the p-value; and a placebo-in-time run for the estimator's own bias.</w:t>
            </w:r>
          </w:p>
        </w:tc>
      </w:tr>
      <w:tr>
        <w:tc>
          <w:tcPr>
            <w:tcW w:type="dxa" w:w="3810"/>
          </w:tcPr>
          <w:p>
            <w:pPr>
              <w:spacing w:after="40"/>
            </w:pPr>
            <w:r>
              <w:rPr>
                <w:sz w:val="18"/>
              </w:rPr>
              <w:t>Tolerance</w:t>
            </w:r>
          </w:p>
        </w:tc>
        <w:tc>
          <w:tcPr>
            <w:tcW w:type="dxa" w:w="5261"/>
          </w:tcPr>
          <w:p>
            <w:pPr>
              <w:spacing w:after="40"/>
            </w:pPr>
            <w:r>
              <w:rPr>
                <w:sz w:val="18"/>
              </w:rPr>
              <w:t>5 percentage points</w:t>
            </w:r>
          </w:p>
        </w:tc>
      </w:tr>
      <w:tr>
        <w:tc>
          <w:tcPr>
            <w:tcW w:type="dxa" w:w="3810"/>
          </w:tcPr>
          <w:p>
            <w:pPr>
              <w:spacing w:after="40"/>
            </w:pPr>
            <w:r>
              <w:rPr>
                <w:sz w:val="18"/>
              </w:rPr>
              <w:t>Result</w:t>
            </w:r>
          </w:p>
        </w:tc>
        <w:tc>
          <w:tcPr>
            <w:tcW w:type="dxa" w:w="5261"/>
          </w:tcPr>
          <w:p>
            <w:pPr>
              <w:spacing w:after="40"/>
            </w:pPr>
            <w:r>
              <w:rPr>
                <w:b/>
                <w:sz w:val="18"/>
              </w:rPr>
              <w:t>all 5 recovery checks inside tolerance</w:t>
            </w:r>
            <w:r>
              <w:rPr>
                <w:sz w:val="18"/>
              </w:rPr>
              <w:t>, worst error 2.61 points</w:t>
            </w:r>
          </w:p>
        </w:tc>
      </w:tr>
    </w:tbl>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628"/>
        <w:gridCol w:w="1361"/>
        <w:gridCol w:w="1361"/>
        <w:gridCol w:w="1361"/>
        <w:gridCol w:w="1361"/>
      </w:tblGrid>
      <w:tr>
        <w:tc>
          <w:tcPr>
            <w:tcW w:type="dxa" w:w="3628"/>
            <w:shd w:val="clear" w:color="auto" w:fill="EEF3F7"/>
          </w:tcPr>
          <w:p>
            <w:pPr>
              <w:spacing w:after="40"/>
            </w:pPr>
            <w:r>
              <w:rPr>
                <w:rFonts w:ascii="Arial" w:hAnsi="Arial"/>
                <w:b/>
                <w:color w:val="1F4E79"/>
                <w:sz w:val="18"/>
              </w:rPr>
              <w:t>Injected</w:t>
            </w:r>
          </w:p>
        </w:tc>
        <w:tc>
          <w:tcPr>
            <w:tcW w:type="dxa" w:w="1361"/>
            <w:shd w:val="clear" w:color="auto" w:fill="EEF3F7"/>
          </w:tcPr>
          <w:p>
            <w:pPr>
              <w:spacing w:after="40"/>
            </w:pPr>
            <w:r>
              <w:rPr>
                <w:rFonts w:ascii="Arial" w:hAnsi="Arial"/>
                <w:b/>
                <w:color w:val="1F4E79"/>
                <w:sz w:val="18"/>
              </w:rPr>
              <w:t>Raw</w:t>
            </w:r>
          </w:p>
        </w:tc>
        <w:tc>
          <w:tcPr>
            <w:tcW w:type="dxa" w:w="1361"/>
            <w:shd w:val="clear" w:color="auto" w:fill="EEF3F7"/>
          </w:tcPr>
          <w:p>
            <w:pPr>
              <w:spacing w:after="40"/>
            </w:pPr>
            <w:r>
              <w:rPr>
                <w:rFonts w:ascii="Arial" w:hAnsi="Arial"/>
                <w:b/>
                <w:color w:val="1F4E79"/>
                <w:sz w:val="18"/>
              </w:rPr>
              <w:t>Bias</w:t>
            </w:r>
          </w:p>
        </w:tc>
        <w:tc>
          <w:tcPr>
            <w:tcW w:type="dxa" w:w="1361"/>
            <w:shd w:val="clear" w:color="auto" w:fill="EEF3F7"/>
          </w:tcPr>
          <w:p>
            <w:pPr>
              <w:spacing w:after="40"/>
            </w:pPr>
            <w:r>
              <w:rPr>
                <w:rFonts w:ascii="Arial" w:hAnsi="Arial"/>
                <w:b/>
                <w:color w:val="1F4E79"/>
                <w:sz w:val="18"/>
              </w:rPr>
              <w:t>Adjusted</w:t>
            </w:r>
          </w:p>
        </w:tc>
        <w:tc>
          <w:tcPr>
            <w:tcW w:type="dxa" w:w="1361"/>
            <w:shd w:val="clear" w:color="auto" w:fill="EEF3F7"/>
          </w:tcPr>
          <w:p>
            <w:pPr>
              <w:spacing w:after="40"/>
            </w:pPr>
            <w:r>
              <w:rPr>
                <w:rFonts w:ascii="Arial" w:hAnsi="Arial"/>
                <w:b/>
                <w:color w:val="1F4E79"/>
                <w:sz w:val="18"/>
              </w:rPr>
              <w:t>Error</w:t>
            </w:r>
          </w:p>
        </w:tc>
      </w:tr>
      <w:tr>
        <w:tc>
          <w:tcPr>
            <w:tcW w:type="dxa" w:w="3628"/>
          </w:tcPr>
          <w:p>
            <w:pPr>
              <w:spacing w:after="40"/>
              <w:jc w:val="right"/>
            </w:pPr>
            <w:r>
              <w:rPr>
                <w:sz w:val="18"/>
              </w:rPr>
              <w:t>+30%</w:t>
            </w:r>
          </w:p>
        </w:tc>
        <w:tc>
          <w:tcPr>
            <w:tcW w:type="dxa" w:w="1361"/>
          </w:tcPr>
          <w:p>
            <w:pPr>
              <w:spacing w:after="40"/>
              <w:jc w:val="right"/>
            </w:pPr>
            <w:r>
              <w:rPr>
                <w:sz w:val="18"/>
              </w:rPr>
              <w:t>+23.91%</w:t>
            </w:r>
          </w:p>
        </w:tc>
        <w:tc>
          <w:tcPr>
            <w:tcW w:type="dxa" w:w="1361"/>
          </w:tcPr>
          <w:p>
            <w:pPr>
              <w:spacing w:after="40"/>
              <w:jc w:val="right"/>
            </w:pPr>
            <w:r>
              <w:rPr>
                <w:sz w:val="18"/>
              </w:rPr>
              <w:t>-3.48%</w:t>
            </w:r>
          </w:p>
        </w:tc>
        <w:tc>
          <w:tcPr>
            <w:tcW w:type="dxa" w:w="1361"/>
          </w:tcPr>
          <w:p>
            <w:pPr>
              <w:spacing w:after="40"/>
              <w:jc w:val="right"/>
            </w:pPr>
            <w:r>
              <w:rPr>
                <w:sz w:val="18"/>
              </w:rPr>
              <w:t>+27.39%</w:t>
            </w:r>
          </w:p>
        </w:tc>
        <w:tc>
          <w:tcPr>
            <w:tcW w:type="dxa" w:w="1361"/>
          </w:tcPr>
          <w:p>
            <w:pPr>
              <w:spacing w:after="40"/>
              <w:jc w:val="right"/>
            </w:pPr>
            <w:r>
              <w:rPr>
                <w:sz w:val="18"/>
              </w:rPr>
              <w:t>-2.61 pts</w:t>
            </w:r>
          </w:p>
        </w:tc>
      </w:tr>
      <w:tr>
        <w:tc>
          <w:tcPr>
            <w:tcW w:type="dxa" w:w="3628"/>
          </w:tcPr>
          <w:p>
            <w:pPr>
              <w:spacing w:after="40"/>
              <w:jc w:val="right"/>
            </w:pPr>
            <w:r>
              <w:rPr>
                <w:sz w:val="18"/>
              </w:rPr>
              <w:t>+20%</w:t>
            </w:r>
          </w:p>
        </w:tc>
        <w:tc>
          <w:tcPr>
            <w:tcW w:type="dxa" w:w="1361"/>
          </w:tcPr>
          <w:p>
            <w:pPr>
              <w:spacing w:after="40"/>
              <w:jc w:val="right"/>
            </w:pPr>
            <w:r>
              <w:rPr>
                <w:sz w:val="18"/>
              </w:rPr>
              <w:t>+14.38%</w:t>
            </w:r>
          </w:p>
        </w:tc>
        <w:tc>
          <w:tcPr>
            <w:tcW w:type="dxa" w:w="1361"/>
          </w:tcPr>
          <w:p>
            <w:pPr>
              <w:spacing w:after="40"/>
              <w:jc w:val="right"/>
            </w:pPr>
            <w:r>
              <w:rPr>
                <w:sz w:val="18"/>
              </w:rPr>
              <w:t>-3.48%</w:t>
            </w:r>
          </w:p>
        </w:tc>
        <w:tc>
          <w:tcPr>
            <w:tcW w:type="dxa" w:w="1361"/>
          </w:tcPr>
          <w:p>
            <w:pPr>
              <w:spacing w:after="40"/>
              <w:jc w:val="right"/>
            </w:pPr>
            <w:r>
              <w:rPr>
                <w:sz w:val="18"/>
              </w:rPr>
              <w:t>+17.86%</w:t>
            </w:r>
          </w:p>
        </w:tc>
        <w:tc>
          <w:tcPr>
            <w:tcW w:type="dxa" w:w="1361"/>
          </w:tcPr>
          <w:p>
            <w:pPr>
              <w:spacing w:after="40"/>
              <w:jc w:val="right"/>
            </w:pPr>
            <w:r>
              <w:rPr>
                <w:sz w:val="18"/>
              </w:rPr>
              <w:t>-2.14 pts</w:t>
            </w:r>
          </w:p>
        </w:tc>
      </w:tr>
      <w:tr>
        <w:tc>
          <w:tcPr>
            <w:tcW w:type="dxa" w:w="3628"/>
          </w:tcPr>
          <w:p>
            <w:pPr>
              <w:spacing w:after="40"/>
              <w:jc w:val="right"/>
            </w:pPr>
            <w:r>
              <w:rPr>
                <w:sz w:val="18"/>
              </w:rPr>
              <w:t>+10%</w:t>
            </w:r>
          </w:p>
        </w:tc>
        <w:tc>
          <w:tcPr>
            <w:tcW w:type="dxa" w:w="1361"/>
          </w:tcPr>
          <w:p>
            <w:pPr>
              <w:spacing w:after="40"/>
              <w:jc w:val="right"/>
            </w:pPr>
            <w:r>
              <w:rPr>
                <w:sz w:val="18"/>
              </w:rPr>
              <w:t>+4.85%</w:t>
            </w:r>
          </w:p>
        </w:tc>
        <w:tc>
          <w:tcPr>
            <w:tcW w:type="dxa" w:w="1361"/>
          </w:tcPr>
          <w:p>
            <w:pPr>
              <w:spacing w:after="40"/>
              <w:jc w:val="right"/>
            </w:pPr>
            <w:r>
              <w:rPr>
                <w:sz w:val="18"/>
              </w:rPr>
              <w:t>-3.48%</w:t>
            </w:r>
          </w:p>
        </w:tc>
        <w:tc>
          <w:tcPr>
            <w:tcW w:type="dxa" w:w="1361"/>
          </w:tcPr>
          <w:p>
            <w:pPr>
              <w:spacing w:after="40"/>
              <w:jc w:val="right"/>
            </w:pPr>
            <w:r>
              <w:rPr>
                <w:sz w:val="18"/>
              </w:rPr>
              <w:t>+8.33%</w:t>
            </w:r>
          </w:p>
        </w:tc>
        <w:tc>
          <w:tcPr>
            <w:tcW w:type="dxa" w:w="1361"/>
          </w:tcPr>
          <w:p>
            <w:pPr>
              <w:spacing w:after="40"/>
              <w:jc w:val="right"/>
            </w:pPr>
            <w:r>
              <w:rPr>
                <w:sz w:val="18"/>
              </w:rPr>
              <w:t>-1.67 pts</w:t>
            </w:r>
          </w:p>
        </w:tc>
      </w:tr>
      <w:tr>
        <w:tc>
          <w:tcPr>
            <w:tcW w:type="dxa" w:w="3628"/>
          </w:tcPr>
          <w:p>
            <w:pPr>
              <w:spacing w:after="40"/>
              <w:jc w:val="right"/>
            </w:pPr>
            <w:r>
              <w:rPr>
                <w:sz w:val="18"/>
              </w:rPr>
              <w:t>+5%</w:t>
            </w:r>
          </w:p>
        </w:tc>
        <w:tc>
          <w:tcPr>
            <w:tcW w:type="dxa" w:w="1361"/>
          </w:tcPr>
          <w:p>
            <w:pPr>
              <w:spacing w:after="40"/>
              <w:jc w:val="right"/>
            </w:pPr>
            <w:r>
              <w:rPr>
                <w:sz w:val="18"/>
              </w:rPr>
              <w:t>+0.08%</w:t>
            </w:r>
          </w:p>
        </w:tc>
        <w:tc>
          <w:tcPr>
            <w:tcW w:type="dxa" w:w="1361"/>
          </w:tcPr>
          <w:p>
            <w:pPr>
              <w:spacing w:after="40"/>
              <w:jc w:val="right"/>
            </w:pPr>
            <w:r>
              <w:rPr>
                <w:sz w:val="18"/>
              </w:rPr>
              <w:t>-3.48%</w:t>
            </w:r>
          </w:p>
        </w:tc>
        <w:tc>
          <w:tcPr>
            <w:tcW w:type="dxa" w:w="1361"/>
          </w:tcPr>
          <w:p>
            <w:pPr>
              <w:spacing w:after="40"/>
              <w:jc w:val="right"/>
            </w:pPr>
            <w:r>
              <w:rPr>
                <w:sz w:val="18"/>
              </w:rPr>
              <w:t>+3.56%</w:t>
            </w:r>
          </w:p>
        </w:tc>
        <w:tc>
          <w:tcPr>
            <w:tcW w:type="dxa" w:w="1361"/>
          </w:tcPr>
          <w:p>
            <w:pPr>
              <w:spacing w:after="40"/>
              <w:jc w:val="right"/>
            </w:pPr>
            <w:r>
              <w:rPr>
                <w:sz w:val="18"/>
              </w:rPr>
              <w:t>-1.44 pts</w:t>
            </w:r>
          </w:p>
        </w:tc>
      </w:tr>
      <w:tr>
        <w:tc>
          <w:tcPr>
            <w:tcW w:type="dxa" w:w="3628"/>
          </w:tcPr>
          <w:p>
            <w:pPr>
              <w:spacing w:after="40"/>
              <w:jc w:val="right"/>
            </w:pPr>
            <w:r>
              <w:rPr>
                <w:sz w:val="18"/>
              </w:rPr>
              <w:t>+0%</w:t>
            </w:r>
          </w:p>
        </w:tc>
        <w:tc>
          <w:tcPr>
            <w:tcW w:type="dxa" w:w="1361"/>
          </w:tcPr>
          <w:p>
            <w:pPr>
              <w:spacing w:after="40"/>
              <w:jc w:val="right"/>
            </w:pPr>
            <w:r>
              <w:rPr>
                <w:sz w:val="18"/>
              </w:rPr>
              <w:t>-4.68%</w:t>
            </w:r>
          </w:p>
        </w:tc>
        <w:tc>
          <w:tcPr>
            <w:tcW w:type="dxa" w:w="1361"/>
          </w:tcPr>
          <w:p>
            <w:pPr>
              <w:spacing w:after="40"/>
              <w:jc w:val="right"/>
            </w:pPr>
            <w:r>
              <w:rPr>
                <w:sz w:val="18"/>
              </w:rPr>
              <w:t>-3.48%</w:t>
            </w:r>
          </w:p>
        </w:tc>
        <w:tc>
          <w:tcPr>
            <w:tcW w:type="dxa" w:w="1361"/>
          </w:tcPr>
          <w:p>
            <w:pPr>
              <w:spacing w:after="40"/>
              <w:jc w:val="right"/>
            </w:pPr>
            <w:r>
              <w:rPr>
                <w:sz w:val="18"/>
              </w:rPr>
              <w:t>-1.20%</w:t>
            </w:r>
          </w:p>
        </w:tc>
        <w:tc>
          <w:tcPr>
            <w:tcW w:type="dxa" w:w="1361"/>
          </w:tcPr>
          <w:p>
            <w:pPr>
              <w:spacing w:after="40"/>
              <w:jc w:val="right"/>
            </w:pPr>
            <w:r>
              <w:rPr>
                <w:sz w:val="18"/>
              </w:rPr>
              <w:t>-1.20 pts</w:t>
            </w:r>
          </w:p>
        </w:tc>
      </w:tr>
    </w:tbl>
    <w:p/>
    <w:p>
      <w:pPr>
        <w:pStyle w:val="Heading2"/>
      </w:pPr>
      <w:r>
        <w:t>The estimator's own bias</w:t>
      </w:r>
    </w:p>
    <w:p>
      <w:r>
        <w:t>The estimator returns about -3.5% on a window where nothing happened, and that is not noise. The donor blend is dominated by Al Barsha, which is fully enclosed; Marina Walk is more than half outdoor seating. As the Gulf summer arrives Marina falls away from its own history while the enclosed donor does not, so the counterfactual drifts above the treated site for reasons unrelated to any promotion. With four sites and one of them uniquely weather-elastic, no convex blend of the others can match Marina's weather response: it is inside the donors' hull on level and outside it on elasticity. That is a real limitation of synthetic control on a small donor pool, so it is measured on a placebo window and subtracted, and both numbers are reported.</w:t>
      </w:r>
    </w:p>
    <w:p>
      <w:pPr>
        <w:pStyle w:val="Heading1"/>
      </w:pPr>
      <w:r>
        <w:t>4. Segmentation</w:t>
      </w:r>
    </w:p>
    <w:p>
      <w:r>
        <w:t>RFM quintiles over the point-of-sale sample, assigned by a decision list so the rules read in order rather than as overlapping sets. Stability is the share of customers keeping their segment across 25 bootstrap resamples.</w:t>
      </w:r>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810"/>
        <w:gridCol w:w="5261"/>
      </w:tblGrid>
      <w:tr>
        <w:tc>
          <w:tcPr>
            <w:tcW w:type="dxa" w:w="3810"/>
            <w:shd w:val="clear" w:color="auto" w:fill="EEF3F7"/>
          </w:tcPr>
          <w:p>
            <w:pPr>
              <w:spacing w:after="40"/>
            </w:pPr>
            <w:r>
              <w:rPr>
                <w:rFonts w:ascii="Arial" w:hAnsi="Arial"/>
                <w:b/>
                <w:color w:val="1F4E79"/>
                <w:sz w:val="18"/>
              </w:rPr>
            </w:r>
          </w:p>
        </w:tc>
        <w:tc>
          <w:tcPr>
            <w:tcW w:type="dxa" w:w="5261"/>
            <w:shd w:val="clear" w:color="auto" w:fill="EEF3F7"/>
          </w:tcPr>
          <w:p>
            <w:pPr>
              <w:spacing w:after="40"/>
            </w:pPr>
            <w:r>
              <w:rPr>
                <w:rFonts w:ascii="Arial" w:hAnsi="Arial"/>
                <w:b/>
                <w:color w:val="1F4E79"/>
                <w:sz w:val="18"/>
              </w:rPr>
            </w:r>
          </w:p>
        </w:tc>
      </w:tr>
      <w:tr>
        <w:tc>
          <w:tcPr>
            <w:tcW w:type="dxa" w:w="3810"/>
          </w:tcPr>
          <w:p>
            <w:pPr>
              <w:spacing w:after="40"/>
            </w:pPr>
            <w:r>
              <w:rPr>
                <w:sz w:val="18"/>
              </w:rPr>
              <w:t>Customers</w:t>
            </w:r>
          </w:p>
        </w:tc>
        <w:tc>
          <w:tcPr>
            <w:tcW w:type="dxa" w:w="5261"/>
          </w:tcPr>
          <w:p>
            <w:pPr>
              <w:spacing w:after="40"/>
            </w:pPr>
            <w:r>
              <w:rPr>
                <w:sz w:val="18"/>
              </w:rPr>
              <w:t>1,854</w:t>
            </w:r>
          </w:p>
        </w:tc>
      </w:tr>
      <w:tr>
        <w:tc>
          <w:tcPr>
            <w:tcW w:type="dxa" w:w="3810"/>
          </w:tcPr>
          <w:p>
            <w:pPr>
              <w:spacing w:after="40"/>
            </w:pPr>
            <w:r>
              <w:rPr>
                <w:sz w:val="18"/>
              </w:rPr>
              <w:t>Bootstrap stability</w:t>
            </w:r>
          </w:p>
        </w:tc>
        <w:tc>
          <w:tcPr>
            <w:tcW w:type="dxa" w:w="5261"/>
          </w:tcPr>
          <w:p>
            <w:pPr>
              <w:spacing w:after="40"/>
            </w:pPr>
            <w:r>
              <w:rPr>
                <w:b/>
                <w:sz w:val="18"/>
              </w:rPr>
              <w:t>91.8%</w:t>
            </w:r>
            <w:r>
              <w:rPr>
                <w:sz w:val="18"/>
              </w:rPr>
              <w:t xml:space="preserve"> keep their segment across 25 resamples</w:t>
            </w:r>
          </w:p>
        </w:tc>
      </w:tr>
    </w:tbl>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628"/>
        <w:gridCol w:w="1814"/>
        <w:gridCol w:w="1814"/>
        <w:gridCol w:w="1814"/>
      </w:tblGrid>
      <w:tr>
        <w:tc>
          <w:tcPr>
            <w:tcW w:type="dxa" w:w="3628"/>
            <w:shd w:val="clear" w:color="auto" w:fill="EEF3F7"/>
          </w:tcPr>
          <w:p>
            <w:pPr>
              <w:spacing w:after="40"/>
            </w:pPr>
            <w:r>
              <w:rPr>
                <w:rFonts w:ascii="Arial" w:hAnsi="Arial"/>
                <w:b/>
                <w:color w:val="1F4E79"/>
                <w:sz w:val="18"/>
              </w:rPr>
              <w:t>Segment</w:t>
            </w:r>
          </w:p>
        </w:tc>
        <w:tc>
          <w:tcPr>
            <w:tcW w:type="dxa" w:w="1814"/>
            <w:shd w:val="clear" w:color="auto" w:fill="EEF3F7"/>
          </w:tcPr>
          <w:p>
            <w:pPr>
              <w:spacing w:after="40"/>
            </w:pPr>
            <w:r>
              <w:rPr>
                <w:rFonts w:ascii="Arial" w:hAnsi="Arial"/>
                <w:b/>
                <w:color w:val="1F4E79"/>
                <w:sz w:val="18"/>
              </w:rPr>
              <w:t>Customers</w:t>
            </w:r>
          </w:p>
        </w:tc>
        <w:tc>
          <w:tcPr>
            <w:tcW w:type="dxa" w:w="1814"/>
            <w:shd w:val="clear" w:color="auto" w:fill="EEF3F7"/>
          </w:tcPr>
          <w:p>
            <w:pPr>
              <w:spacing w:after="40"/>
            </w:pPr>
            <w:r>
              <w:rPr>
                <w:rFonts w:ascii="Arial" w:hAnsi="Arial"/>
                <w:b/>
                <w:color w:val="1F4E79"/>
                <w:sz w:val="18"/>
              </w:rPr>
              <w:t>Revenue share</w:t>
            </w:r>
          </w:p>
        </w:tc>
        <w:tc>
          <w:tcPr>
            <w:tcW w:type="dxa" w:w="1814"/>
            <w:shd w:val="clear" w:color="auto" w:fill="EEF3F7"/>
          </w:tcPr>
          <w:p>
            <w:pPr>
              <w:spacing w:after="40"/>
            </w:pPr>
            <w:r>
              <w:rPr>
                <w:rFonts w:ascii="Arial" w:hAnsi="Arial"/>
                <w:b/>
                <w:color w:val="1F4E79"/>
                <w:sz w:val="18"/>
              </w:rPr>
              <w:t>Customer share</w:t>
            </w:r>
          </w:p>
        </w:tc>
      </w:tr>
      <w:tr>
        <w:tc>
          <w:tcPr>
            <w:tcW w:type="dxa" w:w="3628"/>
          </w:tcPr>
          <w:p>
            <w:pPr>
              <w:spacing w:after="40"/>
            </w:pPr>
            <w:r>
              <w:rPr>
                <w:sz w:val="18"/>
              </w:rPr>
              <w:t>Champions</w:t>
            </w:r>
          </w:p>
        </w:tc>
        <w:tc>
          <w:tcPr>
            <w:tcW w:type="dxa" w:w="1814"/>
          </w:tcPr>
          <w:p>
            <w:pPr>
              <w:spacing w:after="40"/>
              <w:jc w:val="right"/>
            </w:pPr>
            <w:r>
              <w:rPr>
                <w:sz w:val="18"/>
              </w:rPr>
              <w:t>485</w:t>
            </w:r>
          </w:p>
        </w:tc>
        <w:tc>
          <w:tcPr>
            <w:tcW w:type="dxa" w:w="1814"/>
          </w:tcPr>
          <w:p>
            <w:pPr>
              <w:spacing w:after="40"/>
              <w:jc w:val="right"/>
            </w:pPr>
            <w:r>
              <w:rPr>
                <w:sz w:val="18"/>
              </w:rPr>
              <w:t>58.3%</w:t>
            </w:r>
          </w:p>
        </w:tc>
        <w:tc>
          <w:tcPr>
            <w:tcW w:type="dxa" w:w="1814"/>
          </w:tcPr>
          <w:p>
            <w:pPr>
              <w:spacing w:after="40"/>
              <w:jc w:val="right"/>
            </w:pPr>
            <w:r>
              <w:rPr>
                <w:sz w:val="18"/>
              </w:rPr>
              <w:t>26.2%</w:t>
            </w:r>
          </w:p>
        </w:tc>
      </w:tr>
      <w:tr>
        <w:tc>
          <w:tcPr>
            <w:tcW w:type="dxa" w:w="3628"/>
          </w:tcPr>
          <w:p>
            <w:pPr>
              <w:spacing w:after="40"/>
            </w:pPr>
            <w:r>
              <w:rPr>
                <w:sz w:val="18"/>
              </w:rPr>
              <w:t>Loyal</w:t>
            </w:r>
          </w:p>
        </w:tc>
        <w:tc>
          <w:tcPr>
            <w:tcW w:type="dxa" w:w="1814"/>
          </w:tcPr>
          <w:p>
            <w:pPr>
              <w:spacing w:after="40"/>
              <w:jc w:val="right"/>
            </w:pPr>
            <w:r>
              <w:rPr>
                <w:sz w:val="18"/>
              </w:rPr>
              <w:t>257</w:t>
            </w:r>
          </w:p>
        </w:tc>
        <w:tc>
          <w:tcPr>
            <w:tcW w:type="dxa" w:w="1814"/>
          </w:tcPr>
          <w:p>
            <w:pPr>
              <w:spacing w:after="40"/>
              <w:jc w:val="right"/>
            </w:pPr>
            <w:r>
              <w:rPr>
                <w:sz w:val="18"/>
              </w:rPr>
              <w:t>17.7%</w:t>
            </w:r>
          </w:p>
        </w:tc>
        <w:tc>
          <w:tcPr>
            <w:tcW w:type="dxa" w:w="1814"/>
          </w:tcPr>
          <w:p>
            <w:pPr>
              <w:spacing w:after="40"/>
              <w:jc w:val="right"/>
            </w:pPr>
            <w:r>
              <w:rPr>
                <w:sz w:val="18"/>
              </w:rPr>
              <w:t>13.9%</w:t>
            </w:r>
          </w:p>
        </w:tc>
      </w:tr>
      <w:tr>
        <w:tc>
          <w:tcPr>
            <w:tcW w:type="dxa" w:w="3628"/>
          </w:tcPr>
          <w:p>
            <w:pPr>
              <w:spacing w:after="40"/>
            </w:pPr>
            <w:r>
              <w:rPr>
                <w:sz w:val="18"/>
              </w:rPr>
              <w:t>Hibernating</w:t>
            </w:r>
          </w:p>
        </w:tc>
        <w:tc>
          <w:tcPr>
            <w:tcW w:type="dxa" w:w="1814"/>
          </w:tcPr>
          <w:p>
            <w:pPr>
              <w:spacing w:after="40"/>
              <w:jc w:val="right"/>
            </w:pPr>
            <w:r>
              <w:rPr>
                <w:sz w:val="18"/>
              </w:rPr>
              <w:t>497</w:t>
            </w:r>
          </w:p>
        </w:tc>
        <w:tc>
          <w:tcPr>
            <w:tcW w:type="dxa" w:w="1814"/>
          </w:tcPr>
          <w:p>
            <w:pPr>
              <w:spacing w:after="40"/>
              <w:jc w:val="right"/>
            </w:pPr>
            <w:r>
              <w:rPr>
                <w:sz w:val="18"/>
              </w:rPr>
              <w:t>7.6%</w:t>
            </w:r>
          </w:p>
        </w:tc>
        <w:tc>
          <w:tcPr>
            <w:tcW w:type="dxa" w:w="1814"/>
          </w:tcPr>
          <w:p>
            <w:pPr>
              <w:spacing w:after="40"/>
              <w:jc w:val="right"/>
            </w:pPr>
            <w:r>
              <w:rPr>
                <w:sz w:val="18"/>
              </w:rPr>
              <w:t>26.8%</w:t>
            </w:r>
          </w:p>
        </w:tc>
      </w:tr>
      <w:tr>
        <w:tc>
          <w:tcPr>
            <w:tcW w:type="dxa" w:w="3628"/>
          </w:tcPr>
          <w:p>
            <w:pPr>
              <w:spacing w:after="40"/>
            </w:pPr>
            <w:r>
              <w:rPr>
                <w:sz w:val="18"/>
              </w:rPr>
              <w:t>Promising</w:t>
            </w:r>
          </w:p>
        </w:tc>
        <w:tc>
          <w:tcPr>
            <w:tcW w:type="dxa" w:w="1814"/>
          </w:tcPr>
          <w:p>
            <w:pPr>
              <w:spacing w:after="40"/>
              <w:jc w:val="right"/>
            </w:pPr>
            <w:r>
              <w:rPr>
                <w:sz w:val="18"/>
              </w:rPr>
              <w:t>225</w:t>
            </w:r>
          </w:p>
        </w:tc>
        <w:tc>
          <w:tcPr>
            <w:tcW w:type="dxa" w:w="1814"/>
          </w:tcPr>
          <w:p>
            <w:pPr>
              <w:spacing w:after="40"/>
              <w:jc w:val="right"/>
            </w:pPr>
            <w:r>
              <w:rPr>
                <w:sz w:val="18"/>
              </w:rPr>
              <w:t>4.9%</w:t>
            </w:r>
          </w:p>
        </w:tc>
        <w:tc>
          <w:tcPr>
            <w:tcW w:type="dxa" w:w="1814"/>
          </w:tcPr>
          <w:p>
            <w:pPr>
              <w:spacing w:after="40"/>
              <w:jc w:val="right"/>
            </w:pPr>
            <w:r>
              <w:rPr>
                <w:sz w:val="18"/>
              </w:rPr>
              <w:t>12.1%</w:t>
            </w:r>
          </w:p>
        </w:tc>
      </w:tr>
      <w:tr>
        <w:tc>
          <w:tcPr>
            <w:tcW w:type="dxa" w:w="3628"/>
          </w:tcPr>
          <w:p>
            <w:pPr>
              <w:spacing w:after="40"/>
            </w:pPr>
            <w:r>
              <w:rPr>
                <w:sz w:val="18"/>
              </w:rPr>
              <w:t>At risk</w:t>
            </w:r>
          </w:p>
        </w:tc>
        <w:tc>
          <w:tcPr>
            <w:tcW w:type="dxa" w:w="1814"/>
          </w:tcPr>
          <w:p>
            <w:pPr>
              <w:spacing w:after="40"/>
              <w:jc w:val="right"/>
            </w:pPr>
            <w:r>
              <w:rPr>
                <w:sz w:val="18"/>
              </w:rPr>
              <w:t>147</w:t>
            </w:r>
          </w:p>
        </w:tc>
        <w:tc>
          <w:tcPr>
            <w:tcW w:type="dxa" w:w="1814"/>
          </w:tcPr>
          <w:p>
            <w:pPr>
              <w:spacing w:after="40"/>
              <w:jc w:val="right"/>
            </w:pPr>
            <w:r>
              <w:rPr>
                <w:sz w:val="18"/>
              </w:rPr>
              <w:t>4.6%</w:t>
            </w:r>
          </w:p>
        </w:tc>
        <w:tc>
          <w:tcPr>
            <w:tcW w:type="dxa" w:w="1814"/>
          </w:tcPr>
          <w:p>
            <w:pPr>
              <w:spacing w:after="40"/>
              <w:jc w:val="right"/>
            </w:pPr>
            <w:r>
              <w:rPr>
                <w:sz w:val="18"/>
              </w:rPr>
              <w:t>7.9%</w:t>
            </w:r>
          </w:p>
        </w:tc>
      </w:tr>
      <w:tr>
        <w:tc>
          <w:tcPr>
            <w:tcW w:type="dxa" w:w="3628"/>
          </w:tcPr>
          <w:p>
            <w:pPr>
              <w:spacing w:after="40"/>
            </w:pPr>
            <w:r>
              <w:rPr>
                <w:sz w:val="18"/>
              </w:rPr>
              <w:t>Occasional</w:t>
            </w:r>
          </w:p>
        </w:tc>
        <w:tc>
          <w:tcPr>
            <w:tcW w:type="dxa" w:w="1814"/>
          </w:tcPr>
          <w:p>
            <w:pPr>
              <w:spacing w:after="40"/>
              <w:jc w:val="right"/>
            </w:pPr>
            <w:r>
              <w:rPr>
                <w:sz w:val="18"/>
              </w:rPr>
              <w:t>188</w:t>
            </w:r>
          </w:p>
        </w:tc>
        <w:tc>
          <w:tcPr>
            <w:tcW w:type="dxa" w:w="1814"/>
          </w:tcPr>
          <w:p>
            <w:pPr>
              <w:spacing w:after="40"/>
              <w:jc w:val="right"/>
            </w:pPr>
            <w:r>
              <w:rPr>
                <w:sz w:val="18"/>
              </w:rPr>
              <w:t>4.1%</w:t>
            </w:r>
          </w:p>
        </w:tc>
        <w:tc>
          <w:tcPr>
            <w:tcW w:type="dxa" w:w="1814"/>
          </w:tcPr>
          <w:p>
            <w:pPr>
              <w:spacing w:after="40"/>
              <w:jc w:val="right"/>
            </w:pPr>
            <w:r>
              <w:rPr>
                <w:sz w:val="18"/>
              </w:rPr>
              <w:t>10.1%</w:t>
            </w:r>
          </w:p>
        </w:tc>
      </w:tr>
      <w:tr>
        <w:tc>
          <w:tcPr>
            <w:tcW w:type="dxa" w:w="3628"/>
          </w:tcPr>
          <w:p>
            <w:pPr>
              <w:spacing w:after="40"/>
            </w:pPr>
            <w:r>
              <w:rPr>
                <w:sz w:val="18"/>
              </w:rPr>
              <w:t>Big spenders</w:t>
            </w:r>
          </w:p>
        </w:tc>
        <w:tc>
          <w:tcPr>
            <w:tcW w:type="dxa" w:w="1814"/>
          </w:tcPr>
          <w:p>
            <w:pPr>
              <w:spacing w:after="40"/>
              <w:jc w:val="right"/>
            </w:pPr>
            <w:r>
              <w:rPr>
                <w:sz w:val="18"/>
              </w:rPr>
              <w:t>55</w:t>
            </w:r>
          </w:p>
        </w:tc>
        <w:tc>
          <w:tcPr>
            <w:tcW w:type="dxa" w:w="1814"/>
          </w:tcPr>
          <w:p>
            <w:pPr>
              <w:spacing w:after="40"/>
              <w:jc w:val="right"/>
            </w:pPr>
            <w:r>
              <w:rPr>
                <w:sz w:val="18"/>
              </w:rPr>
              <w:t>2.8%</w:t>
            </w:r>
          </w:p>
        </w:tc>
        <w:tc>
          <w:tcPr>
            <w:tcW w:type="dxa" w:w="1814"/>
          </w:tcPr>
          <w:p>
            <w:pPr>
              <w:spacing w:after="40"/>
              <w:jc w:val="right"/>
            </w:pPr>
            <w:r>
              <w:rPr>
                <w:sz w:val="18"/>
              </w:rPr>
              <w:t>3.0%</w:t>
            </w:r>
          </w:p>
        </w:tc>
      </w:tr>
    </w:tbl>
    <w:p/>
    <w:p>
      <w:r>
        <w:t>The response ceilings and saturation rates are structural assumptions, not fitted values: no promotion has run, so there is nothing to fit them to. Phase D's measured lift replaces them.</w:t>
      </w:r>
    </w:p>
    <w:p>
      <w:pPr>
        <w:pStyle w:val="Heading1"/>
      </w:pPr>
      <w:r>
        <w:t>5. Media allocation</w:t>
      </w:r>
    </w:p>
    <w:p>
      <w:r>
        <w:t>Fifteen cells — five channels by three dayparts — each with a saturating response a(1-exp(-bx)). The objective is concave, so greedy marginal allocation reaches the exact optimum and the KKT condition (equal marginal return across funded cells) is checkable.</w:t>
      </w:r>
    </w:p>
    <w:p>
      <w:r>
        <w:t>Ninety-day daypart demand: evening 242,655, midday 103,356, morning 111,317</w:t>
      </w:r>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628"/>
        <w:gridCol w:w="2721"/>
        <w:gridCol w:w="2721"/>
      </w:tblGrid>
      <w:tr>
        <w:tc>
          <w:tcPr>
            <w:tcW w:type="dxa" w:w="3628"/>
            <w:shd w:val="clear" w:color="auto" w:fill="EEF3F7"/>
          </w:tcPr>
          <w:p>
            <w:pPr>
              <w:spacing w:after="40"/>
            </w:pPr>
            <w:r>
              <w:rPr>
                <w:rFonts w:ascii="Arial" w:hAnsi="Arial"/>
                <w:b/>
                <w:color w:val="1F4E79"/>
                <w:sz w:val="18"/>
              </w:rPr>
              <w:t>Budget</w:t>
            </w:r>
          </w:p>
        </w:tc>
        <w:tc>
          <w:tcPr>
            <w:tcW w:type="dxa" w:w="2721"/>
            <w:shd w:val="clear" w:color="auto" w:fill="EEF3F7"/>
          </w:tcPr>
          <w:p>
            <w:pPr>
              <w:spacing w:after="40"/>
            </w:pPr>
            <w:r>
              <w:rPr>
                <w:rFonts w:ascii="Arial" w:hAnsi="Arial"/>
                <w:b/>
                <w:color w:val="1F4E79"/>
                <w:sz w:val="18"/>
              </w:rPr>
              <w:t>Incremental visits</w:t>
            </w:r>
          </w:p>
        </w:tc>
        <w:tc>
          <w:tcPr>
            <w:tcW w:type="dxa" w:w="2721"/>
            <w:shd w:val="clear" w:color="auto" w:fill="EEF3F7"/>
          </w:tcPr>
          <w:p>
            <w:pPr>
              <w:spacing w:after="40"/>
            </w:pPr>
            <w:r>
              <w:rPr>
                <w:rFonts w:ascii="Arial" w:hAnsi="Arial"/>
                <w:b/>
                <w:color w:val="1F4E79"/>
                <w:sz w:val="18"/>
              </w:rPr>
              <w:t>Per 1,000 AED</w:t>
            </w:r>
          </w:p>
        </w:tc>
      </w:tr>
      <w:tr>
        <w:tc>
          <w:tcPr>
            <w:tcW w:type="dxa" w:w="3628"/>
          </w:tcPr>
          <w:p>
            <w:pPr>
              <w:spacing w:after="40"/>
              <w:jc w:val="right"/>
            </w:pPr>
            <w:r>
              <w:rPr>
                <w:sz w:val="18"/>
              </w:rPr>
              <w:t>2,000</w:t>
            </w:r>
          </w:p>
        </w:tc>
        <w:tc>
          <w:tcPr>
            <w:tcW w:type="dxa" w:w="2721"/>
          </w:tcPr>
          <w:p>
            <w:pPr>
              <w:spacing w:after="40"/>
              <w:jc w:val="right"/>
            </w:pPr>
            <w:r>
              <w:rPr>
                <w:sz w:val="18"/>
              </w:rPr>
              <w:t>571</w:t>
            </w:r>
          </w:p>
        </w:tc>
        <w:tc>
          <w:tcPr>
            <w:tcW w:type="dxa" w:w="2721"/>
          </w:tcPr>
          <w:p>
            <w:pPr>
              <w:spacing w:after="40"/>
              <w:jc w:val="right"/>
            </w:pPr>
            <w:r>
              <w:rPr>
                <w:sz w:val="18"/>
              </w:rPr>
              <w:t>285.7</w:t>
            </w:r>
          </w:p>
        </w:tc>
      </w:tr>
      <w:tr>
        <w:tc>
          <w:tcPr>
            <w:tcW w:type="dxa" w:w="3628"/>
          </w:tcPr>
          <w:p>
            <w:pPr>
              <w:spacing w:after="40"/>
              <w:jc w:val="right"/>
            </w:pPr>
            <w:r>
              <w:rPr>
                <w:sz w:val="18"/>
              </w:rPr>
              <w:t>4,000</w:t>
            </w:r>
          </w:p>
        </w:tc>
        <w:tc>
          <w:tcPr>
            <w:tcW w:type="dxa" w:w="2721"/>
          </w:tcPr>
          <w:p>
            <w:pPr>
              <w:spacing w:after="40"/>
              <w:jc w:val="right"/>
            </w:pPr>
            <w:r>
              <w:rPr>
                <w:sz w:val="18"/>
              </w:rPr>
              <w:t>918</w:t>
            </w:r>
          </w:p>
        </w:tc>
        <w:tc>
          <w:tcPr>
            <w:tcW w:type="dxa" w:w="2721"/>
          </w:tcPr>
          <w:p>
            <w:pPr>
              <w:spacing w:after="40"/>
              <w:jc w:val="right"/>
            </w:pPr>
            <w:r>
              <w:rPr>
                <w:sz w:val="18"/>
              </w:rPr>
              <w:t>229.4</w:t>
            </w:r>
          </w:p>
        </w:tc>
      </w:tr>
      <w:tr>
        <w:tc>
          <w:tcPr>
            <w:tcW w:type="dxa" w:w="3628"/>
          </w:tcPr>
          <w:p>
            <w:pPr>
              <w:spacing w:after="40"/>
              <w:jc w:val="right"/>
            </w:pPr>
            <w:r>
              <w:rPr>
                <w:sz w:val="18"/>
              </w:rPr>
              <w:t>6,000</w:t>
            </w:r>
          </w:p>
        </w:tc>
        <w:tc>
          <w:tcPr>
            <w:tcW w:type="dxa" w:w="2721"/>
          </w:tcPr>
          <w:p>
            <w:pPr>
              <w:spacing w:after="40"/>
              <w:jc w:val="right"/>
            </w:pPr>
            <w:r>
              <w:rPr>
                <w:sz w:val="18"/>
              </w:rPr>
              <w:t>1,186</w:t>
            </w:r>
          </w:p>
        </w:tc>
        <w:tc>
          <w:tcPr>
            <w:tcW w:type="dxa" w:w="2721"/>
          </w:tcPr>
          <w:p>
            <w:pPr>
              <w:spacing w:after="40"/>
              <w:jc w:val="right"/>
            </w:pPr>
            <w:r>
              <w:rPr>
                <w:sz w:val="18"/>
              </w:rPr>
              <w:t>197.7</w:t>
            </w:r>
          </w:p>
        </w:tc>
      </w:tr>
      <w:tr>
        <w:tc>
          <w:tcPr>
            <w:tcW w:type="dxa" w:w="3628"/>
          </w:tcPr>
          <w:p>
            <w:pPr>
              <w:spacing w:after="40"/>
              <w:jc w:val="right"/>
            </w:pPr>
            <w:r>
              <w:rPr>
                <w:sz w:val="18"/>
              </w:rPr>
              <w:t>8,000</w:t>
            </w:r>
          </w:p>
        </w:tc>
        <w:tc>
          <w:tcPr>
            <w:tcW w:type="dxa" w:w="2721"/>
          </w:tcPr>
          <w:p>
            <w:pPr>
              <w:spacing w:after="40"/>
              <w:jc w:val="right"/>
            </w:pPr>
            <w:r>
              <w:rPr>
                <w:sz w:val="18"/>
              </w:rPr>
              <w:t>1,409</w:t>
            </w:r>
          </w:p>
        </w:tc>
        <w:tc>
          <w:tcPr>
            <w:tcW w:type="dxa" w:w="2721"/>
          </w:tcPr>
          <w:p>
            <w:pPr>
              <w:spacing w:after="40"/>
              <w:jc w:val="right"/>
            </w:pPr>
            <w:r>
              <w:rPr>
                <w:sz w:val="18"/>
              </w:rPr>
              <w:t>176.1</w:t>
            </w:r>
          </w:p>
        </w:tc>
      </w:tr>
      <w:tr>
        <w:tc>
          <w:tcPr>
            <w:tcW w:type="dxa" w:w="3628"/>
          </w:tcPr>
          <w:p>
            <w:pPr>
              <w:spacing w:after="40"/>
              <w:jc w:val="right"/>
            </w:pPr>
            <w:r>
              <w:rPr>
                <w:sz w:val="18"/>
              </w:rPr>
              <w:t>12,000</w:t>
            </w:r>
          </w:p>
        </w:tc>
        <w:tc>
          <w:tcPr>
            <w:tcW w:type="dxa" w:w="2721"/>
          </w:tcPr>
          <w:p>
            <w:pPr>
              <w:spacing w:after="40"/>
              <w:jc w:val="right"/>
            </w:pPr>
            <w:r>
              <w:rPr>
                <w:sz w:val="18"/>
              </w:rPr>
              <w:t>1,765</w:t>
            </w:r>
          </w:p>
        </w:tc>
        <w:tc>
          <w:tcPr>
            <w:tcW w:type="dxa" w:w="2721"/>
          </w:tcPr>
          <w:p>
            <w:pPr>
              <w:spacing w:after="40"/>
              <w:jc w:val="right"/>
            </w:pPr>
            <w:r>
              <w:rPr>
                <w:sz w:val="18"/>
              </w:rPr>
              <w:t>147.1</w:t>
            </w:r>
          </w:p>
        </w:tc>
      </w:tr>
      <w:tr>
        <w:tc>
          <w:tcPr>
            <w:tcW w:type="dxa" w:w="3628"/>
          </w:tcPr>
          <w:p>
            <w:pPr>
              <w:spacing w:after="40"/>
              <w:jc w:val="right"/>
            </w:pPr>
            <w:r>
              <w:rPr>
                <w:sz w:val="18"/>
              </w:rPr>
              <w:t>16,000</w:t>
            </w:r>
          </w:p>
        </w:tc>
        <w:tc>
          <w:tcPr>
            <w:tcW w:type="dxa" w:w="2721"/>
          </w:tcPr>
          <w:p>
            <w:pPr>
              <w:spacing w:after="40"/>
              <w:jc w:val="right"/>
            </w:pPr>
            <w:r>
              <w:rPr>
                <w:sz w:val="18"/>
              </w:rPr>
              <w:t>2,039</w:t>
            </w:r>
          </w:p>
        </w:tc>
        <w:tc>
          <w:tcPr>
            <w:tcW w:type="dxa" w:w="2721"/>
          </w:tcPr>
          <w:p>
            <w:pPr>
              <w:spacing w:after="40"/>
              <w:jc w:val="right"/>
            </w:pPr>
            <w:r>
              <w:rPr>
                <w:sz w:val="18"/>
              </w:rPr>
              <w:t>127.4</w:t>
            </w:r>
          </w:p>
        </w:tc>
      </w:tr>
      <w:tr>
        <w:tc>
          <w:tcPr>
            <w:tcW w:type="dxa" w:w="3628"/>
          </w:tcPr>
          <w:p>
            <w:pPr>
              <w:spacing w:after="40"/>
              <w:jc w:val="right"/>
            </w:pPr>
            <w:r>
              <w:rPr>
                <w:sz w:val="18"/>
              </w:rPr>
              <w:t>24,000</w:t>
            </w:r>
          </w:p>
        </w:tc>
        <w:tc>
          <w:tcPr>
            <w:tcW w:type="dxa" w:w="2721"/>
          </w:tcPr>
          <w:p>
            <w:pPr>
              <w:spacing w:after="40"/>
              <w:jc w:val="right"/>
            </w:pPr>
            <w:r>
              <w:rPr>
                <w:sz w:val="18"/>
              </w:rPr>
              <w:t>2,444</w:t>
            </w:r>
          </w:p>
        </w:tc>
        <w:tc>
          <w:tcPr>
            <w:tcW w:type="dxa" w:w="2721"/>
          </w:tcPr>
          <w:p>
            <w:pPr>
              <w:spacing w:after="40"/>
              <w:jc w:val="right"/>
            </w:pPr>
            <w:r>
              <w:rPr>
                <w:sz w:val="18"/>
              </w:rPr>
              <w:t>101.8</w:t>
            </w:r>
          </w:p>
        </w:tc>
      </w:tr>
      <w:tr>
        <w:tc>
          <w:tcPr>
            <w:tcW w:type="dxa" w:w="3628"/>
          </w:tcPr>
          <w:p>
            <w:pPr>
              <w:spacing w:after="40"/>
              <w:jc w:val="right"/>
            </w:pPr>
            <w:r>
              <w:rPr>
                <w:sz w:val="18"/>
              </w:rPr>
              <w:t>32,000</w:t>
            </w:r>
          </w:p>
        </w:tc>
        <w:tc>
          <w:tcPr>
            <w:tcW w:type="dxa" w:w="2721"/>
          </w:tcPr>
          <w:p>
            <w:pPr>
              <w:spacing w:after="40"/>
              <w:jc w:val="right"/>
            </w:pPr>
            <w:r>
              <w:rPr>
                <w:sz w:val="18"/>
              </w:rPr>
              <w:t>2,727</w:t>
            </w:r>
          </w:p>
        </w:tc>
        <w:tc>
          <w:tcPr>
            <w:tcW w:type="dxa" w:w="2721"/>
          </w:tcPr>
          <w:p>
            <w:pPr>
              <w:spacing w:after="40"/>
              <w:jc w:val="right"/>
            </w:pPr>
            <w:r>
              <w:rPr>
                <w:sz w:val="18"/>
              </w:rPr>
              <w:t>85.2</w:t>
            </w:r>
          </w:p>
        </w:tc>
      </w:tr>
    </w:tbl>
    <w:p/>
    <w:p>
      <w:r>
        <w:t>Affinities and saturation rates are structural assumptions scaled by the forecast, not fitted elasticities. No promotion has run. Every response the allocator returns carries assumed=true, and an allocator presented as optimal on invented elasticities would be the most confident wrong thing in this application.</w:t>
      </w:r>
    </w:p>
    <w:p>
      <w:pPr>
        <w:pStyle w:val="Heading1"/>
      </w:pPr>
      <w:r>
        <w:t>6. Brand and legal compliance</w:t>
      </w:r>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810"/>
        <w:gridCol w:w="5261"/>
      </w:tblGrid>
      <w:tr>
        <w:tc>
          <w:tcPr>
            <w:tcW w:type="dxa" w:w="3810"/>
            <w:shd w:val="clear" w:color="auto" w:fill="EEF3F7"/>
          </w:tcPr>
          <w:p>
            <w:pPr>
              <w:spacing w:after="40"/>
            </w:pPr>
            <w:r>
              <w:rPr>
                <w:rFonts w:ascii="Arial" w:hAnsi="Arial"/>
                <w:b/>
                <w:color w:val="1F4E79"/>
                <w:sz w:val="18"/>
              </w:rPr>
            </w:r>
          </w:p>
        </w:tc>
        <w:tc>
          <w:tcPr>
            <w:tcW w:type="dxa" w:w="5261"/>
            <w:shd w:val="clear" w:color="auto" w:fill="EEF3F7"/>
          </w:tcPr>
          <w:p>
            <w:pPr>
              <w:spacing w:after="40"/>
            </w:pPr>
            <w:r>
              <w:rPr>
                <w:rFonts w:ascii="Arial" w:hAnsi="Arial"/>
                <w:b/>
                <w:color w:val="1F4E79"/>
                <w:sz w:val="18"/>
              </w:rPr>
            </w:r>
          </w:p>
        </w:tc>
      </w:tr>
      <w:tr>
        <w:tc>
          <w:tcPr>
            <w:tcW w:type="dxa" w:w="3810"/>
          </w:tcPr>
          <w:p>
            <w:pPr>
              <w:spacing w:after="40"/>
            </w:pPr>
            <w:r>
              <w:rPr>
                <w:sz w:val="18"/>
              </w:rPr>
              <w:t>Method</w:t>
            </w:r>
          </w:p>
        </w:tc>
        <w:tc>
          <w:tcPr>
            <w:tcW w:type="dxa" w:w="5261"/>
          </w:tcPr>
          <w:p>
            <w:pPr>
              <w:spacing w:after="40"/>
            </w:pPr>
            <w:r>
              <w:rPr>
                <w:sz w:val="18"/>
              </w:rPr>
              <w:t>Regex over NFKC-normalised text against the eleven rules in data/brand/sidra.yaml. Deterministic: a rule engine whose verdict depends on a model's mood cannot be audited. Three rule types — pattern, conditional (fires unless a qualifier is present) and presence (fires on something missing, such as an allergen statement).</w:t>
            </w:r>
          </w:p>
        </w:tc>
      </w:tr>
      <w:tr>
        <w:tc>
          <w:tcPr>
            <w:tcW w:type="dxa" w:w="3810"/>
          </w:tcPr>
          <w:p>
            <w:pPr>
              <w:spacing w:after="40"/>
            </w:pPr>
            <w:r>
              <w:rPr>
                <w:sz w:val="18"/>
              </w:rPr>
              <w:t>Target recall</w:t>
            </w:r>
          </w:p>
        </w:tc>
        <w:tc>
          <w:tcPr>
            <w:tcW w:type="dxa" w:w="5261"/>
          </w:tcPr>
          <w:p>
            <w:pPr>
              <w:spacing w:after="40"/>
            </w:pPr>
            <w:r>
              <w:rPr>
                <w:sz w:val="18"/>
              </w:rPr>
              <w:t>90%</w:t>
            </w:r>
          </w:p>
        </w:tc>
      </w:tr>
      <w:tr>
        <w:tc>
          <w:tcPr>
            <w:tcW w:type="dxa" w:w="3810"/>
          </w:tcPr>
          <w:p>
            <w:pPr>
              <w:spacing w:after="40"/>
            </w:pPr>
            <w:r>
              <w:rPr>
                <w:sz w:val="18"/>
              </w:rPr>
              <w:t>Worst recall across languages</w:t>
            </w:r>
          </w:p>
        </w:tc>
        <w:tc>
          <w:tcPr>
            <w:tcW w:type="dxa" w:w="5261"/>
          </w:tcPr>
          <w:p>
            <w:pPr>
              <w:spacing w:after="40"/>
            </w:pPr>
            <w:r>
              <w:rPr>
                <w:b/>
                <w:sz w:val="18"/>
              </w:rPr>
              <w:t>100%</w:t>
            </w:r>
          </w:p>
        </w:tc>
      </w:tr>
    </w:tbl>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628"/>
        <w:gridCol w:w="1814"/>
        <w:gridCol w:w="1814"/>
        <w:gridCol w:w="1814"/>
      </w:tblGrid>
      <w:tr>
        <w:tc>
          <w:tcPr>
            <w:tcW w:type="dxa" w:w="3628"/>
            <w:shd w:val="clear" w:color="auto" w:fill="EEF3F7"/>
          </w:tcPr>
          <w:p>
            <w:pPr>
              <w:spacing w:after="40"/>
            </w:pPr>
            <w:r>
              <w:rPr>
                <w:rFonts w:ascii="Arial" w:hAnsi="Arial"/>
                <w:b/>
                <w:color w:val="1F4E79"/>
                <w:sz w:val="18"/>
              </w:rPr>
              <w:t>Language</w:t>
            </w:r>
          </w:p>
        </w:tc>
        <w:tc>
          <w:tcPr>
            <w:tcW w:type="dxa" w:w="1814"/>
            <w:shd w:val="clear" w:color="auto" w:fill="EEF3F7"/>
          </w:tcPr>
          <w:p>
            <w:pPr>
              <w:spacing w:after="40"/>
            </w:pPr>
            <w:r>
              <w:rPr>
                <w:rFonts w:ascii="Arial" w:hAnsi="Arial"/>
                <w:b/>
                <w:color w:val="1F4E79"/>
                <w:sz w:val="18"/>
              </w:rPr>
              <w:t>Cases</w:t>
            </w:r>
          </w:p>
        </w:tc>
        <w:tc>
          <w:tcPr>
            <w:tcW w:type="dxa" w:w="1814"/>
            <w:shd w:val="clear" w:color="auto" w:fill="EEF3F7"/>
          </w:tcPr>
          <w:p>
            <w:pPr>
              <w:spacing w:after="40"/>
            </w:pPr>
            <w:r>
              <w:rPr>
                <w:rFonts w:ascii="Arial" w:hAnsi="Arial"/>
                <w:b/>
                <w:color w:val="1F4E79"/>
                <w:sz w:val="18"/>
              </w:rPr>
              <w:t>Recall</w:t>
            </w:r>
          </w:p>
        </w:tc>
        <w:tc>
          <w:tcPr>
            <w:tcW w:type="dxa" w:w="1814"/>
            <w:shd w:val="clear" w:color="auto" w:fill="EEF3F7"/>
          </w:tcPr>
          <w:p>
            <w:pPr>
              <w:spacing w:after="40"/>
            </w:pPr>
            <w:r>
              <w:rPr>
                <w:rFonts w:ascii="Arial" w:hAnsi="Arial"/>
                <w:b/>
                <w:color w:val="1F4E79"/>
                <w:sz w:val="18"/>
              </w:rPr>
              <w:t>Precision</w:t>
            </w:r>
          </w:p>
        </w:tc>
      </w:tr>
      <w:tr>
        <w:tc>
          <w:tcPr>
            <w:tcW w:type="dxa" w:w="3628"/>
          </w:tcPr>
          <w:p>
            <w:pPr>
              <w:spacing w:after="40"/>
            </w:pPr>
            <w:r>
              <w:rPr>
                <w:sz w:val="18"/>
              </w:rPr>
              <w:t>en</w:t>
            </w:r>
          </w:p>
        </w:tc>
        <w:tc>
          <w:tcPr>
            <w:tcW w:type="dxa" w:w="1814"/>
          </w:tcPr>
          <w:p>
            <w:pPr>
              <w:spacing w:after="40"/>
              <w:jc w:val="right"/>
            </w:pPr>
            <w:r>
              <w:rPr>
                <w:sz w:val="18"/>
              </w:rPr>
              <w:t>40</w:t>
            </w:r>
          </w:p>
        </w:tc>
        <w:tc>
          <w:tcPr>
            <w:tcW w:type="dxa" w:w="1814"/>
          </w:tcPr>
          <w:p>
            <w:pPr>
              <w:spacing w:after="40"/>
              <w:jc w:val="right"/>
            </w:pPr>
            <w:r>
              <w:rPr>
                <w:sz w:val="18"/>
              </w:rPr>
              <w:t>100%</w:t>
            </w:r>
          </w:p>
        </w:tc>
        <w:tc>
          <w:tcPr>
            <w:tcW w:type="dxa" w:w="1814"/>
          </w:tcPr>
          <w:p>
            <w:pPr>
              <w:spacing w:after="40"/>
              <w:jc w:val="right"/>
            </w:pPr>
            <w:r>
              <w:rPr>
                <w:sz w:val="18"/>
              </w:rPr>
              <w:t>100%</w:t>
            </w:r>
          </w:p>
        </w:tc>
      </w:tr>
      <w:tr>
        <w:tc>
          <w:tcPr>
            <w:tcW w:type="dxa" w:w="3628"/>
          </w:tcPr>
          <w:p>
            <w:pPr>
              <w:spacing w:after="40"/>
            </w:pPr>
            <w:r>
              <w:rPr>
                <w:sz w:val="18"/>
              </w:rPr>
              <w:t>ar</w:t>
            </w:r>
          </w:p>
        </w:tc>
        <w:tc>
          <w:tcPr>
            <w:tcW w:type="dxa" w:w="1814"/>
          </w:tcPr>
          <w:p>
            <w:pPr>
              <w:spacing w:after="40"/>
              <w:jc w:val="right"/>
            </w:pPr>
            <w:r>
              <w:rPr>
                <w:sz w:val="18"/>
              </w:rPr>
              <w:t>10</w:t>
            </w:r>
          </w:p>
        </w:tc>
        <w:tc>
          <w:tcPr>
            <w:tcW w:type="dxa" w:w="1814"/>
          </w:tcPr>
          <w:p>
            <w:pPr>
              <w:spacing w:after="40"/>
              <w:jc w:val="right"/>
            </w:pPr>
            <w:r>
              <w:rPr>
                <w:sz w:val="18"/>
              </w:rPr>
              <w:t>100%</w:t>
            </w:r>
          </w:p>
        </w:tc>
        <w:tc>
          <w:tcPr>
            <w:tcW w:type="dxa" w:w="1814"/>
          </w:tcPr>
          <w:p>
            <w:pPr>
              <w:spacing w:after="40"/>
              <w:jc w:val="right"/>
            </w:pPr>
            <w:r>
              <w:rPr>
                <w:sz w:val="18"/>
              </w:rPr>
              <w:t>100%</w:t>
            </w:r>
          </w:p>
        </w:tc>
      </w:tr>
      <w:tr>
        <w:tc>
          <w:tcPr>
            <w:tcW w:type="dxa" w:w="3628"/>
          </w:tcPr>
          <w:p>
            <w:pPr>
              <w:spacing w:after="40"/>
            </w:pPr>
            <w:r>
              <w:rPr>
                <w:sz w:val="18"/>
              </w:rPr>
              <w:t>hi</w:t>
            </w:r>
          </w:p>
        </w:tc>
        <w:tc>
          <w:tcPr>
            <w:tcW w:type="dxa" w:w="1814"/>
          </w:tcPr>
          <w:p>
            <w:pPr>
              <w:spacing w:after="40"/>
              <w:jc w:val="right"/>
            </w:pPr>
            <w:r>
              <w:rPr>
                <w:sz w:val="18"/>
              </w:rPr>
              <w:t>10</w:t>
            </w:r>
          </w:p>
        </w:tc>
        <w:tc>
          <w:tcPr>
            <w:tcW w:type="dxa" w:w="1814"/>
          </w:tcPr>
          <w:p>
            <w:pPr>
              <w:spacing w:after="40"/>
              <w:jc w:val="right"/>
            </w:pPr>
            <w:r>
              <w:rPr>
                <w:sz w:val="18"/>
              </w:rPr>
              <w:t>100%</w:t>
            </w:r>
          </w:p>
        </w:tc>
        <w:tc>
          <w:tcPr>
            <w:tcW w:type="dxa" w:w="1814"/>
          </w:tcPr>
          <w:p>
            <w:pPr>
              <w:spacing w:after="40"/>
              <w:jc w:val="right"/>
            </w:pPr>
            <w:r>
              <w:rPr>
                <w:sz w:val="18"/>
              </w:rPr>
              <w:t>100%</w:t>
            </w:r>
          </w:p>
        </w:tc>
      </w:tr>
    </w:tbl>
    <w:p/>
    <w:p>
      <w:r>
        <w:t>Recall is reported per language and never blended. The rule set was written in English first and on the same violating creative caught six rules in English, four in Arabic and two in Hindi — for a UAE brand a real gap rather than a cosmetic one. Arabic and Hindi patterns were added and the gold set extended; a single blended number would have hidden the imbalance it was written to find.</w:t>
      </w:r>
    </w:p>
    <w:p>
      <w:r>
        <w:t>Precision is reported beside recall because a rule that flags everything scores perfect recall. The clean half of the gold set is deliberately adversarial: it contains discounts with stated terms, allergen statements, and the word 'fresh' qualified by 'baked on site'.</w:t>
      </w:r>
    </w:p>
    <w:p>
      <w:pPr>
        <w:pStyle w:val="Heading1"/>
      </w:pPr>
      <w:r>
        <w:t>7. Retrieval</w:t>
      </w:r>
    </w:p>
    <w:p>
      <w:r>
        <w:t xml:space="preserve">Embedding model chosen by measurement, not preference. The property that matters is the </w:t>
      </w:r>
      <w:r>
        <w:rPr>
          <w:b/>
        </w:rPr>
        <w:t>margin over an unrelated control</w:t>
      </w:r>
      <w:r>
        <w:t xml:space="preserve"> — a raw similarity between a sentence and its translation is high under almost any model and means nothing alone.</w:t>
      </w:r>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628"/>
        <w:gridCol w:w="1361"/>
        <w:gridCol w:w="1361"/>
        <w:gridCol w:w="1361"/>
        <w:gridCol w:w="1361"/>
      </w:tblGrid>
      <w:tr>
        <w:tc>
          <w:tcPr>
            <w:tcW w:type="dxa" w:w="3628"/>
            <w:shd w:val="clear" w:color="auto" w:fill="EEF3F7"/>
          </w:tcPr>
          <w:p>
            <w:pPr>
              <w:spacing w:after="40"/>
            </w:pPr>
            <w:r>
              <w:rPr>
                <w:rFonts w:ascii="Arial" w:hAnsi="Arial"/>
                <w:b/>
                <w:color w:val="1F4E79"/>
                <w:sz w:val="18"/>
              </w:rPr>
              <w:t>Model</w:t>
            </w:r>
          </w:p>
        </w:tc>
        <w:tc>
          <w:tcPr>
            <w:tcW w:type="dxa" w:w="1361"/>
            <w:shd w:val="clear" w:color="auto" w:fill="EEF3F7"/>
          </w:tcPr>
          <w:p>
            <w:pPr>
              <w:spacing w:after="40"/>
            </w:pPr>
            <w:r>
              <w:rPr>
                <w:rFonts w:ascii="Arial" w:hAnsi="Arial"/>
                <w:b/>
                <w:color w:val="1F4E79"/>
                <w:sz w:val="18"/>
              </w:rPr>
              <w:t>dim</w:t>
            </w:r>
          </w:p>
        </w:tc>
        <w:tc>
          <w:tcPr>
            <w:tcW w:type="dxa" w:w="1361"/>
            <w:shd w:val="clear" w:color="auto" w:fill="EEF3F7"/>
          </w:tcPr>
          <w:p>
            <w:pPr>
              <w:spacing w:after="40"/>
            </w:pPr>
            <w:r>
              <w:rPr>
                <w:rFonts w:ascii="Arial" w:hAnsi="Arial"/>
                <w:b/>
                <w:color w:val="1F4E79"/>
                <w:sz w:val="18"/>
              </w:rPr>
              <w:t>Worst HI margin</w:t>
            </w:r>
          </w:p>
        </w:tc>
        <w:tc>
          <w:tcPr>
            <w:tcW w:type="dxa" w:w="1361"/>
            <w:shd w:val="clear" w:color="auto" w:fill="EEF3F7"/>
          </w:tcPr>
          <w:p>
            <w:pPr>
              <w:spacing w:after="40"/>
            </w:pPr>
            <w:r>
              <w:rPr>
                <w:rFonts w:ascii="Arial" w:hAnsi="Arial"/>
                <w:b/>
                <w:color w:val="1F4E79"/>
                <w:sz w:val="18"/>
              </w:rPr>
              <w:t>Worst AR margin</w:t>
            </w:r>
          </w:p>
        </w:tc>
        <w:tc>
          <w:tcPr>
            <w:tcW w:type="dxa" w:w="1361"/>
            <w:shd w:val="clear" w:color="auto" w:fill="EEF3F7"/>
          </w:tcPr>
          <w:p>
            <w:pPr>
              <w:spacing w:after="40"/>
            </w:pPr>
            <w:r>
              <w:rPr>
                <w:rFonts w:ascii="Arial" w:hAnsi="Arial"/>
                <w:b/>
                <w:color w:val="1F4E79"/>
                <w:sz w:val="18"/>
              </w:rPr>
              <w:t>Verdict</w:t>
            </w:r>
          </w:p>
        </w:tc>
      </w:tr>
      <w:tr>
        <w:tc>
          <w:tcPr>
            <w:tcW w:type="dxa" w:w="3628"/>
          </w:tcPr>
          <w:p>
            <w:pPr>
              <w:spacing w:after="40"/>
            </w:pPr>
            <w:r>
              <w:rPr>
                <w:sz w:val="18"/>
              </w:rPr>
              <w:t>bge-m3:567m</w:t>
            </w:r>
          </w:p>
        </w:tc>
        <w:tc>
          <w:tcPr>
            <w:tcW w:type="dxa" w:w="1361"/>
          </w:tcPr>
          <w:p>
            <w:pPr>
              <w:spacing w:after="40"/>
              <w:jc w:val="right"/>
            </w:pPr>
            <w:r>
              <w:rPr>
                <w:sz w:val="18"/>
              </w:rPr>
              <w:t>1024</w:t>
            </w:r>
          </w:p>
        </w:tc>
        <w:tc>
          <w:tcPr>
            <w:tcW w:type="dxa" w:w="1361"/>
          </w:tcPr>
          <w:p>
            <w:pPr>
              <w:spacing w:after="40"/>
              <w:jc w:val="right"/>
            </w:pPr>
            <w:r>
              <w:rPr>
                <w:sz w:val="18"/>
              </w:rPr>
              <w:t>+0.447</w:t>
            </w:r>
          </w:p>
        </w:tc>
        <w:tc>
          <w:tcPr>
            <w:tcW w:type="dxa" w:w="1361"/>
          </w:tcPr>
          <w:p>
            <w:pPr>
              <w:spacing w:after="40"/>
              <w:jc w:val="right"/>
            </w:pPr>
            <w:r>
              <w:rPr>
                <w:sz w:val="18"/>
              </w:rPr>
              <w:t>+0.318</w:t>
            </w:r>
          </w:p>
        </w:tc>
        <w:tc>
          <w:tcPr>
            <w:tcW w:type="dxa" w:w="1361"/>
          </w:tcPr>
          <w:p>
            <w:pPr>
              <w:spacing w:after="40"/>
            </w:pPr>
            <w:r>
              <w:rPr>
                <w:sz w:val="18"/>
              </w:rPr>
              <w:t>local choice</w:t>
            </w:r>
          </w:p>
        </w:tc>
      </w:tr>
      <w:tr>
        <w:tc>
          <w:tcPr>
            <w:tcW w:type="dxa" w:w="3628"/>
          </w:tcPr>
          <w:p>
            <w:pPr>
              <w:spacing w:after="40"/>
            </w:pPr>
            <w:r>
              <w:rPr>
                <w:sz w:val="18"/>
              </w:rPr>
              <w:t>nomic-embed-text</w:t>
            </w:r>
          </w:p>
        </w:tc>
        <w:tc>
          <w:tcPr>
            <w:tcW w:type="dxa" w:w="1361"/>
          </w:tcPr>
          <w:p>
            <w:pPr>
              <w:spacing w:after="40"/>
              <w:jc w:val="right"/>
            </w:pPr>
            <w:r>
              <w:rPr>
                <w:sz w:val="18"/>
              </w:rPr>
              <w:t>768</w:t>
            </w:r>
          </w:p>
        </w:tc>
        <w:tc>
          <w:tcPr>
            <w:tcW w:type="dxa" w:w="1361"/>
          </w:tcPr>
          <w:p>
            <w:pPr>
              <w:spacing w:after="40"/>
              <w:jc w:val="right"/>
            </w:pPr>
            <w:r>
              <w:rPr>
                <w:sz w:val="18"/>
              </w:rPr>
              <w:t>-0.076</w:t>
            </w:r>
          </w:p>
        </w:tc>
        <w:tc>
          <w:tcPr>
            <w:tcW w:type="dxa" w:w="1361"/>
          </w:tcPr>
          <w:p>
            <w:pPr>
              <w:spacing w:after="40"/>
              <w:jc w:val="right"/>
            </w:pPr>
            <w:r>
              <w:rPr>
                <w:sz w:val="18"/>
              </w:rPr>
              <w:t>-0.127</w:t>
            </w:r>
          </w:p>
        </w:tc>
        <w:tc>
          <w:tcPr>
            <w:tcW w:type="dxa" w:w="1361"/>
          </w:tcPr>
          <w:p>
            <w:pPr>
              <w:spacing w:after="40"/>
            </w:pPr>
            <w:r>
              <w:rPr>
                <w:b/>
                <w:sz w:val="18"/>
              </w:rPr>
              <w:t>disqualified</w:t>
            </w:r>
          </w:p>
        </w:tc>
      </w:tr>
    </w:tbl>
    <w:p/>
    <w:p>
      <w:r>
        <w:rPr>
          <w:rFonts w:ascii="Consolas" w:hAnsi="Consolas"/>
          <w:color w:val="5A6B7B"/>
          <w:sz w:val="18"/>
        </w:rPr>
        <w:t>nomic-embed-text</w:t>
      </w:r>
      <w:r>
        <w:t xml:space="preserve"> is not weaker here — it is wrong. Its margin is negative: on the nutrition probe it scores an English sentence about espresso-machine depreciation above the Hindi and Arabic translations of the sugar-free rule. Asked in Arabic what the threshold is, a system using it would return the accounting sentence with a citation attached.</w:t>
      </w:r>
    </w:p>
    <w:p>
      <w:pPr>
        <w:pStyle w:val="Heading1"/>
      </w:pPr>
      <w:r>
        <w:t>8. Accessibility and colour</w:t>
      </w:r>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810"/>
        <w:gridCol w:w="5261"/>
      </w:tblGrid>
      <w:tr>
        <w:tc>
          <w:tcPr>
            <w:tcW w:type="dxa" w:w="3810"/>
            <w:shd w:val="clear" w:color="auto" w:fill="EEF3F7"/>
          </w:tcPr>
          <w:p>
            <w:pPr>
              <w:spacing w:after="40"/>
            </w:pPr>
            <w:r>
              <w:rPr>
                <w:rFonts w:ascii="Arial" w:hAnsi="Arial"/>
                <w:b/>
                <w:color w:val="1F4E79"/>
                <w:sz w:val="18"/>
              </w:rPr>
            </w:r>
          </w:p>
        </w:tc>
        <w:tc>
          <w:tcPr>
            <w:tcW w:type="dxa" w:w="5261"/>
            <w:shd w:val="clear" w:color="auto" w:fill="EEF3F7"/>
          </w:tcPr>
          <w:p>
            <w:pPr>
              <w:spacing w:after="40"/>
            </w:pPr>
            <w:r>
              <w:rPr>
                <w:rFonts w:ascii="Arial" w:hAnsi="Arial"/>
                <w:b/>
                <w:color w:val="1F4E79"/>
                <w:sz w:val="18"/>
              </w:rPr>
            </w:r>
          </w:p>
        </w:tc>
      </w:tr>
      <w:tr>
        <w:tc>
          <w:tcPr>
            <w:tcW w:type="dxa" w:w="3810"/>
          </w:tcPr>
          <w:p>
            <w:pPr>
              <w:spacing w:after="40"/>
            </w:pPr>
            <w:r>
              <w:rPr>
                <w:sz w:val="18"/>
              </w:rPr>
              <w:t>Contrast pairs measured</w:t>
            </w:r>
          </w:p>
        </w:tc>
        <w:tc>
          <w:tcPr>
            <w:tcW w:type="dxa" w:w="5261"/>
          </w:tcPr>
          <w:p>
            <w:pPr>
              <w:spacing w:after="40"/>
            </w:pPr>
            <w:r>
              <w:rPr>
                <w:sz w:val="18"/>
              </w:rPr>
              <w:t>38, both registers</w:t>
            </w:r>
          </w:p>
        </w:tc>
      </w:tr>
      <w:tr>
        <w:tc>
          <w:tcPr>
            <w:tcW w:type="dxa" w:w="3810"/>
          </w:tcPr>
          <w:p>
            <w:pPr>
              <w:spacing w:after="40"/>
            </w:pPr>
            <w:r>
              <w:rPr>
                <w:sz w:val="18"/>
              </w:rPr>
              <w:t>Palette checks</w:t>
            </w:r>
          </w:p>
        </w:tc>
        <w:tc>
          <w:tcPr>
            <w:tcW w:type="dxa" w:w="5261"/>
          </w:tcPr>
          <w:p>
            <w:pPr>
              <w:spacing w:after="40"/>
            </w:pPr>
            <w:r>
              <w:rPr>
                <w:sz w:val="18"/>
              </w:rPr>
              <w:t>seven, both registers</w:t>
            </w:r>
          </w:p>
        </w:tc>
      </w:tr>
    </w:tbl>
    <w:p/>
    <w:p>
      <w:r>
        <w:t>The palette was rejected twice by its own gate before passing: a saturated midday hue collapsed to ΔE 3.5 under deuteranopia, and desaturating it made it read grey. Neither failure is visible by eye on a designer's monitor.</w:t>
      </w:r>
    </w:p>
    <w:p>
      <w:pPr>
        <w:pStyle w:val="Heading1"/>
      </w:pPr>
      <w:r>
        <w:t>9. Targets</w:t>
      </w:r>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628"/>
        <w:gridCol w:w="2721"/>
        <w:gridCol w:w="2721"/>
      </w:tblGrid>
      <w:tr>
        <w:tc>
          <w:tcPr>
            <w:tcW w:type="dxa" w:w="3628"/>
            <w:shd w:val="clear" w:color="auto" w:fill="EEF3F7"/>
          </w:tcPr>
          <w:p>
            <w:pPr>
              <w:spacing w:after="40"/>
            </w:pPr>
            <w:r>
              <w:rPr>
                <w:rFonts w:ascii="Arial" w:hAnsi="Arial"/>
                <w:b/>
                <w:color w:val="1F4E79"/>
                <w:sz w:val="18"/>
              </w:rPr>
              <w:t>Target</w:t>
            </w:r>
          </w:p>
        </w:tc>
        <w:tc>
          <w:tcPr>
            <w:tcW w:type="dxa" w:w="2721"/>
            <w:shd w:val="clear" w:color="auto" w:fill="EEF3F7"/>
          </w:tcPr>
          <w:p>
            <w:pPr>
              <w:spacing w:after="40"/>
            </w:pPr>
            <w:r>
              <w:rPr>
                <w:rFonts w:ascii="Arial" w:hAnsi="Arial"/>
                <w:b/>
                <w:color w:val="1F4E79"/>
                <w:sz w:val="18"/>
              </w:rPr>
              <w:t>Result</w:t>
            </w:r>
          </w:p>
        </w:tc>
        <w:tc>
          <w:tcPr>
            <w:tcW w:type="dxa" w:w="2721"/>
            <w:shd w:val="clear" w:color="auto" w:fill="EEF3F7"/>
          </w:tcPr>
          <w:p>
            <w:pPr>
              <w:spacing w:after="40"/>
            </w:pPr>
            <w:r>
              <w:rPr>
                <w:rFonts w:ascii="Arial" w:hAnsi="Arial"/>
                <w:b/>
                <w:color w:val="1F4E79"/>
                <w:sz w:val="18"/>
              </w:rPr>
            </w:r>
          </w:p>
        </w:tc>
      </w:tr>
      <w:tr>
        <w:tc>
          <w:tcPr>
            <w:tcW w:type="dxa" w:w="3628"/>
          </w:tcPr>
          <w:p>
            <w:pPr>
              <w:spacing w:after="40"/>
            </w:pPr>
            <w:r>
              <w:rPr>
                <w:sz w:val="18"/>
              </w:rPr>
              <w:t>Forecast beats naive on ≥70% of weeks</w:t>
            </w:r>
          </w:p>
        </w:tc>
        <w:tc>
          <w:tcPr>
            <w:tcW w:type="dxa" w:w="2721"/>
          </w:tcPr>
          <w:p>
            <w:pPr>
              <w:spacing w:after="40"/>
            </w:pPr>
            <w:r>
              <w:rPr>
                <w:sz w:val="18"/>
              </w:rPr>
              <w:t>100%</w:t>
            </w:r>
          </w:p>
        </w:tc>
        <w:tc>
          <w:tcPr>
            <w:tcW w:type="dxa" w:w="2721"/>
          </w:tcPr>
          <w:p>
            <w:pPr>
              <w:spacing w:after="40"/>
            </w:pPr>
            <w:r>
              <w:rPr>
                <w:sz w:val="18"/>
              </w:rPr>
              <w:t>MET</w:t>
            </w:r>
          </w:p>
        </w:tc>
      </w:tr>
      <w:tr>
        <w:tc>
          <w:tcPr>
            <w:tcW w:type="dxa" w:w="3628"/>
          </w:tcPr>
          <w:p>
            <w:pPr>
              <w:spacing w:after="40"/>
            </w:pPr>
            <w:r>
              <w:rPr>
                <w:sz w:val="18"/>
              </w:rPr>
              <w:t>Uplift recovery within ±5 points</w:t>
            </w:r>
          </w:p>
        </w:tc>
        <w:tc>
          <w:tcPr>
            <w:tcW w:type="dxa" w:w="2721"/>
          </w:tcPr>
          <w:p>
            <w:pPr>
              <w:spacing w:after="40"/>
            </w:pPr>
            <w:r>
              <w:rPr>
                <w:sz w:val="18"/>
              </w:rPr>
              <w:t>worst 2.61 pts</w:t>
            </w:r>
          </w:p>
        </w:tc>
        <w:tc>
          <w:tcPr>
            <w:tcW w:type="dxa" w:w="2721"/>
          </w:tcPr>
          <w:p>
            <w:pPr>
              <w:spacing w:after="40"/>
            </w:pPr>
            <w:r>
              <w:rPr>
                <w:sz w:val="18"/>
              </w:rPr>
              <w:t>MET</w:t>
            </w:r>
          </w:p>
        </w:tc>
      </w:tr>
      <w:tr>
        <w:tc>
          <w:tcPr>
            <w:tcW w:type="dxa" w:w="3628"/>
          </w:tcPr>
          <w:p>
            <w:pPr>
              <w:spacing w:after="40"/>
            </w:pPr>
            <w:r>
              <w:rPr>
                <w:sz w:val="18"/>
              </w:rPr>
              <w:t>Compliance recall ≥0.90</w:t>
            </w:r>
          </w:p>
        </w:tc>
        <w:tc>
          <w:tcPr>
            <w:tcW w:type="dxa" w:w="2721"/>
          </w:tcPr>
          <w:p>
            <w:pPr>
              <w:spacing w:after="40"/>
            </w:pPr>
            <w:r>
              <w:rPr>
                <w:sz w:val="18"/>
              </w:rPr>
              <w:t>100% worst language</w:t>
            </w:r>
          </w:p>
        </w:tc>
        <w:tc>
          <w:tcPr>
            <w:tcW w:type="dxa" w:w="2721"/>
          </w:tcPr>
          <w:p>
            <w:pPr>
              <w:spacing w:after="40"/>
            </w:pPr>
            <w:r>
              <w:rPr>
                <w:sz w:val="18"/>
              </w:rPr>
              <w:t>MET</w:t>
            </w:r>
          </w:p>
        </w:tc>
      </w:tr>
      <w:tr>
        <w:tc>
          <w:tcPr>
            <w:tcW w:type="dxa" w:w="3628"/>
          </w:tcPr>
          <w:p>
            <w:pPr>
              <w:spacing w:after="40"/>
            </w:pPr>
            <w:r>
              <w:rPr>
                <w:sz w:val="18"/>
              </w:rPr>
              <w:t>Segments stable under bootstrap</w:t>
            </w:r>
          </w:p>
        </w:tc>
        <w:tc>
          <w:tcPr>
            <w:tcW w:type="dxa" w:w="2721"/>
          </w:tcPr>
          <w:p>
            <w:pPr>
              <w:spacing w:after="40"/>
            </w:pPr>
            <w:r>
              <w:rPr>
                <w:sz w:val="18"/>
              </w:rPr>
              <w:t>91.8%</w:t>
            </w:r>
          </w:p>
        </w:tc>
        <w:tc>
          <w:tcPr>
            <w:tcW w:type="dxa" w:w="2721"/>
          </w:tcPr>
          <w:p>
            <w:pPr>
              <w:spacing w:after="40"/>
            </w:pPr>
            <w:r>
              <w:rPr>
                <w:sz w:val="18"/>
              </w:rPr>
              <w:t>MET</w:t>
            </w:r>
          </w:p>
        </w:tc>
      </w:tr>
    </w:tbl>
    <w:p/>
    <w:p>
      <w:pPr>
        <w:pStyle w:val="Heading1"/>
      </w:pPr>
      <w:r>
        <w:t>10. Safety, and what happened when it was attacked</w:t>
      </w:r>
    </w:p>
    <w:p>
      <w:r>
        <w:t>No agent in the registry holds a tool with a side effect; the whole API is GET, so there is no verb with which to write. That is an architectural claim, and a claim is worth what the attempt to break it is worth.</w:t>
      </w:r>
    </w:p>
    <w:p>
      <w:r>
        <w:rPr>
          <w:rFonts w:ascii="Consolas" w:hAnsi="Consolas"/>
          <w:color w:val="5A6B7B"/>
          <w:sz w:val="18"/>
        </w:rPr>
        <w:t>scripts/red_team.py</w:t>
      </w:r>
      <w:r>
        <w:t xml:space="preserve"> makes 48 attempts across 7 OWASP ASI controls — prompt injection into the compliance checker, script-mixing and zero-width evasion of the claim rules, forged and edited capability tokens, HTTP verbs the API does not answer, provenance stripping, aiming the embedder off-box, and budget exhaustion. </w:t>
      </w:r>
      <w:r>
        <w:rPr>
          <w:b/>
        </w:rPr>
        <w:t>48 of 48 held.</w:t>
      </w:r>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628"/>
        <w:gridCol w:w="2721"/>
        <w:gridCol w:w="2721"/>
      </w:tblGrid>
      <w:tr>
        <w:tc>
          <w:tcPr>
            <w:tcW w:type="dxa" w:w="3628"/>
            <w:shd w:val="clear" w:color="auto" w:fill="EEF3F7"/>
          </w:tcPr>
          <w:p>
            <w:pPr>
              <w:spacing w:after="40"/>
            </w:pPr>
            <w:r>
              <w:rPr>
                <w:rFonts w:ascii="Arial" w:hAnsi="Arial"/>
                <w:b/>
                <w:color w:val="1F4E79"/>
                <w:sz w:val="18"/>
              </w:rPr>
              <w:t>Control</w:t>
            </w:r>
          </w:p>
        </w:tc>
        <w:tc>
          <w:tcPr>
            <w:tcW w:type="dxa" w:w="2721"/>
            <w:shd w:val="clear" w:color="auto" w:fill="EEF3F7"/>
          </w:tcPr>
          <w:p>
            <w:pPr>
              <w:spacing w:after="40"/>
            </w:pPr>
            <w:r>
              <w:rPr>
                <w:rFonts w:ascii="Arial" w:hAnsi="Arial"/>
                <w:b/>
                <w:color w:val="1F4E79"/>
                <w:sz w:val="18"/>
              </w:rPr>
              <w:t>Attempts</w:t>
            </w:r>
          </w:p>
        </w:tc>
        <w:tc>
          <w:tcPr>
            <w:tcW w:type="dxa" w:w="2721"/>
            <w:shd w:val="clear" w:color="auto" w:fill="EEF3F7"/>
          </w:tcPr>
          <w:p>
            <w:pPr>
              <w:spacing w:after="40"/>
            </w:pPr>
            <w:r>
              <w:rPr>
                <w:rFonts w:ascii="Arial" w:hAnsi="Arial"/>
                <w:b/>
                <w:color w:val="1F4E79"/>
                <w:sz w:val="18"/>
              </w:rPr>
              <w:t>Held</w:t>
            </w:r>
          </w:p>
        </w:tc>
      </w:tr>
      <w:tr>
        <w:tc>
          <w:tcPr>
            <w:tcW w:type="dxa" w:w="3628"/>
          </w:tcPr>
          <w:p>
            <w:pPr>
              <w:spacing w:after="40"/>
            </w:pPr>
            <w:r>
              <w:rPr>
                <w:sz w:val="18"/>
              </w:rPr>
              <w:t>ASI-01</w:t>
            </w:r>
          </w:p>
        </w:tc>
        <w:tc>
          <w:tcPr>
            <w:tcW w:type="dxa" w:w="2721"/>
          </w:tcPr>
          <w:p>
            <w:pPr>
              <w:spacing w:after="40"/>
            </w:pPr>
            <w:r>
              <w:rPr>
                <w:sz w:val="18"/>
              </w:rPr>
              <w:t>8</w:t>
            </w:r>
          </w:p>
        </w:tc>
        <w:tc>
          <w:tcPr>
            <w:tcW w:type="dxa" w:w="2721"/>
          </w:tcPr>
          <w:p>
            <w:pPr>
              <w:spacing w:after="40"/>
            </w:pPr>
            <w:r>
              <w:rPr>
                <w:sz w:val="18"/>
              </w:rPr>
              <w:t>8</w:t>
            </w:r>
          </w:p>
        </w:tc>
      </w:tr>
      <w:tr>
        <w:tc>
          <w:tcPr>
            <w:tcW w:type="dxa" w:w="3628"/>
          </w:tcPr>
          <w:p>
            <w:pPr>
              <w:spacing w:after="40"/>
            </w:pPr>
            <w:r>
              <w:rPr>
                <w:sz w:val="18"/>
              </w:rPr>
              <w:t>ASI-03</w:t>
            </w:r>
          </w:p>
        </w:tc>
        <w:tc>
          <w:tcPr>
            <w:tcW w:type="dxa" w:w="2721"/>
          </w:tcPr>
          <w:p>
            <w:pPr>
              <w:spacing w:after="40"/>
            </w:pPr>
            <w:r>
              <w:rPr>
                <w:sz w:val="18"/>
              </w:rPr>
              <w:t>13</w:t>
            </w:r>
          </w:p>
        </w:tc>
        <w:tc>
          <w:tcPr>
            <w:tcW w:type="dxa" w:w="2721"/>
          </w:tcPr>
          <w:p>
            <w:pPr>
              <w:spacing w:after="40"/>
            </w:pPr>
            <w:r>
              <w:rPr>
                <w:sz w:val="18"/>
              </w:rPr>
              <w:t>13</w:t>
            </w:r>
          </w:p>
        </w:tc>
      </w:tr>
      <w:tr>
        <w:tc>
          <w:tcPr>
            <w:tcW w:type="dxa" w:w="3628"/>
          </w:tcPr>
          <w:p>
            <w:pPr>
              <w:spacing w:after="40"/>
            </w:pPr>
            <w:r>
              <w:rPr>
                <w:sz w:val="18"/>
              </w:rPr>
              <w:t>ASI-04</w:t>
            </w:r>
          </w:p>
        </w:tc>
        <w:tc>
          <w:tcPr>
            <w:tcW w:type="dxa" w:w="2721"/>
          </w:tcPr>
          <w:p>
            <w:pPr>
              <w:spacing w:after="40"/>
            </w:pPr>
            <w:r>
              <w:rPr>
                <w:sz w:val="18"/>
              </w:rPr>
              <w:t>2</w:t>
            </w:r>
          </w:p>
        </w:tc>
        <w:tc>
          <w:tcPr>
            <w:tcW w:type="dxa" w:w="2721"/>
          </w:tcPr>
          <w:p>
            <w:pPr>
              <w:spacing w:after="40"/>
            </w:pPr>
            <w:r>
              <w:rPr>
                <w:sz w:val="18"/>
              </w:rPr>
              <w:t>2</w:t>
            </w:r>
          </w:p>
        </w:tc>
      </w:tr>
      <w:tr>
        <w:tc>
          <w:tcPr>
            <w:tcW w:type="dxa" w:w="3628"/>
          </w:tcPr>
          <w:p>
            <w:pPr>
              <w:spacing w:after="40"/>
            </w:pPr>
            <w:r>
              <w:rPr>
                <w:sz w:val="18"/>
              </w:rPr>
              <w:t>ASI-06</w:t>
            </w:r>
          </w:p>
        </w:tc>
        <w:tc>
          <w:tcPr>
            <w:tcW w:type="dxa" w:w="2721"/>
          </w:tcPr>
          <w:p>
            <w:pPr>
              <w:spacing w:after="40"/>
            </w:pPr>
            <w:r>
              <w:rPr>
                <w:sz w:val="18"/>
              </w:rPr>
              <w:t>5</w:t>
            </w:r>
          </w:p>
        </w:tc>
        <w:tc>
          <w:tcPr>
            <w:tcW w:type="dxa" w:w="2721"/>
          </w:tcPr>
          <w:p>
            <w:pPr>
              <w:spacing w:after="40"/>
            </w:pPr>
            <w:r>
              <w:rPr>
                <w:sz w:val="18"/>
              </w:rPr>
              <w:t>5</w:t>
            </w:r>
          </w:p>
        </w:tc>
      </w:tr>
      <w:tr>
        <w:tc>
          <w:tcPr>
            <w:tcW w:type="dxa" w:w="3628"/>
          </w:tcPr>
          <w:p>
            <w:pPr>
              <w:spacing w:after="40"/>
            </w:pPr>
            <w:r>
              <w:rPr>
                <w:sz w:val="18"/>
              </w:rPr>
              <w:t>ASI-07</w:t>
            </w:r>
          </w:p>
        </w:tc>
        <w:tc>
          <w:tcPr>
            <w:tcW w:type="dxa" w:w="2721"/>
          </w:tcPr>
          <w:p>
            <w:pPr>
              <w:spacing w:after="40"/>
            </w:pPr>
            <w:r>
              <w:rPr>
                <w:sz w:val="18"/>
              </w:rPr>
              <w:t>2</w:t>
            </w:r>
          </w:p>
        </w:tc>
        <w:tc>
          <w:tcPr>
            <w:tcW w:type="dxa" w:w="2721"/>
          </w:tcPr>
          <w:p>
            <w:pPr>
              <w:spacing w:after="40"/>
            </w:pPr>
            <w:r>
              <w:rPr>
                <w:sz w:val="18"/>
              </w:rPr>
              <w:t>2</w:t>
            </w:r>
          </w:p>
        </w:tc>
      </w:tr>
      <w:tr>
        <w:tc>
          <w:tcPr>
            <w:tcW w:type="dxa" w:w="3628"/>
          </w:tcPr>
          <w:p>
            <w:pPr>
              <w:spacing w:after="40"/>
            </w:pPr>
            <w:r>
              <w:rPr>
                <w:sz w:val="18"/>
              </w:rPr>
              <w:t>ASI-08</w:t>
            </w:r>
          </w:p>
        </w:tc>
        <w:tc>
          <w:tcPr>
            <w:tcW w:type="dxa" w:w="2721"/>
          </w:tcPr>
          <w:p>
            <w:pPr>
              <w:spacing w:after="40"/>
            </w:pPr>
            <w:r>
              <w:rPr>
                <w:sz w:val="18"/>
              </w:rPr>
              <w:t>1</w:t>
            </w:r>
          </w:p>
        </w:tc>
        <w:tc>
          <w:tcPr>
            <w:tcW w:type="dxa" w:w="2721"/>
          </w:tcPr>
          <w:p>
            <w:pPr>
              <w:spacing w:after="40"/>
            </w:pPr>
            <w:r>
              <w:rPr>
                <w:sz w:val="18"/>
              </w:rPr>
              <w:t>1</w:t>
            </w:r>
          </w:p>
        </w:tc>
      </w:tr>
      <w:tr>
        <w:tc>
          <w:tcPr>
            <w:tcW w:type="dxa" w:w="3628"/>
          </w:tcPr>
          <w:p>
            <w:pPr>
              <w:spacing w:after="40"/>
            </w:pPr>
            <w:r>
              <w:rPr>
                <w:sz w:val="18"/>
              </w:rPr>
              <w:t>ASI-09</w:t>
            </w:r>
          </w:p>
        </w:tc>
        <w:tc>
          <w:tcPr>
            <w:tcW w:type="dxa" w:w="2721"/>
          </w:tcPr>
          <w:p>
            <w:pPr>
              <w:spacing w:after="40"/>
            </w:pPr>
            <w:r>
              <w:rPr>
                <w:sz w:val="18"/>
              </w:rPr>
              <w:t>17</w:t>
            </w:r>
          </w:p>
        </w:tc>
        <w:tc>
          <w:tcPr>
            <w:tcW w:type="dxa" w:w="2721"/>
          </w:tcPr>
          <w:p>
            <w:pPr>
              <w:spacing w:after="40"/>
            </w:pPr>
            <w:r>
              <w:rPr>
                <w:sz w:val="18"/>
              </w:rPr>
              <w:t>17</w:t>
            </w:r>
          </w:p>
        </w:tc>
      </w:tr>
    </w:tbl>
    <w:p/>
    <w:p>
      <w:r>
        <w:t>Every case held, which is a smaller claim than it looks. Until this commit RT-AUT-06 broke on purpose: the Admin role was a request header, so 'ADMIN ' engaged the kill switch and the honest thing to do was score it as a break rather than as an expected result. It is now a token signed with HMAC-SHA256 under a secret only the operator holds, and the eleven RT-TOK cases attack that instead — rewriting the role, extending the expiry, truncating and stripping the signature, swapping the algorithm marker, replaying after expiry and after revocation. RT-TOK-10 deliberately SUCCEEDS with a real token, because a gate that refuses everyone scores perfectly and is broken. What remains true of any bearer credential is that whoever holds it can use it until it expires; lifetimes are short and revocation is immediate, but the revocation set is process memory and clears on restart.</w:t>
      </w:r>
    </w:p>
    <w:p>
      <w:r>
        <w:t>A pass here is narrow, and the file says so in its own words: The attack did not achieve its objective. It does not mean the system is secure — no harness can say that. It means these specific attempts, the ones a marketing-compliance tool actually invites, were tried and recorded, and the result is a number rather than an assurance.</w:t>
      </w:r>
    </w:p>
    <w:p>
      <w:pPr>
        <w:pStyle w:val="Heading1"/>
      </w:pPr>
      <w:r>
        <w:t>11. Limitations</w:t>
      </w:r>
    </w:p>
    <w:p>
      <w:pPr>
        <w:pStyle w:val="ListBullet"/>
        <w:spacing w:after="60"/>
      </w:pPr>
      <w:r>
        <w:rPr>
          <w:b/>
        </w:rPr>
        <w:t>Footfall is generated.</w:t>
      </w:r>
      <w:r>
        <w:t xml:space="preserve"> No public hourly footfall series exists for a Dubai</w:t>
      </w:r>
    </w:p>
    <w:p>
      <w:r>
        <w:t>café. What is not invented is the evaluation.</w:t>
      </w:r>
    </w:p>
    <w:p>
      <w:pPr>
        <w:pStyle w:val="ListBullet"/>
        <w:spacing w:after="60"/>
      </w:pPr>
      <w:r>
        <w:rPr>
          <w:b/>
        </w:rPr>
        <w:t>Event dates are placed, not confirmed.</w:t>
      </w:r>
      <w:r>
        <w:t xml:space="preserve"> Visit Dubai returns 403 to every</w:t>
      </w:r>
    </w:p>
    <w:p>
      <w:r>
        <w:t>non-browser client and no redistributable feed exists.</w:t>
      </w:r>
    </w:p>
    <w:p>
      <w:pPr>
        <w:pStyle w:val="ListBullet"/>
        <w:spacing w:after="60"/>
      </w:pPr>
      <w:r>
        <w:rPr>
          <w:b/>
        </w:rPr>
        <w:t>Islamic holidays are calculated</w:t>
      </w:r>
      <w:r>
        <w:t xml:space="preserve"> against a moon-sighting rule, and carry one</w:t>
      </w:r>
    </w:p>
    <w:p>
      <w:r>
        <w:t>day of uncertainty.</w:t>
      </w:r>
    </w:p>
    <w:p>
      <w:pPr>
        <w:pStyle w:val="ListBullet"/>
        <w:spacing w:after="60"/>
      </w:pPr>
      <w:r>
        <w:rPr>
          <w:b/>
        </w:rPr>
        <w:t>Allocator elasticities are assumed</w:t>
      </w:r>
      <w:r>
        <w:t>, because no promotion has run.</w:t>
      </w:r>
    </w:p>
    <w:p>
      <w:pPr>
        <w:pStyle w:val="ListBullet"/>
        <w:spacing w:after="60"/>
      </w:pPr>
      <w:r>
        <w:rPr>
          <w:b/>
        </w:rPr>
        <w:t>Most compliance clauses are unread.</w:t>
      </w:r>
      <w:r>
        <w:t xml:space="preserve"> Source documents are verified; the</w:t>
      </w:r>
    </w:p>
    <w:p>
      <w:r>
        <w:t>clauses are quoted verbatim during corpus ingestion, and until then the brand PDF prints "clause unverified".</w:t>
      </w:r>
    </w:p>
    <w:p>
      <w:pPr>
        <w:pStyle w:val="ListBullet"/>
        <w:spacing w:after="60"/>
      </w:pPr>
      <w:r>
        <w:rPr>
          <w:b/>
        </w:rPr>
        <w:t>A bearer token is usable by whoever holds it.</w:t>
      </w:r>
      <w:r>
        <w:t xml:space="preserve"> Admin is proved by a signed</w:t>
      </w:r>
    </w:p>
    <w:p>
      <w:r>
        <w:t>token rather than claimed in a header, but a stateless credential cannot tell its holder from its owner. Lifetimes default to eight hours and an id can be refused immediately, though the revocation set is process memory and clears on restart.</w:t>
      </w:r>
    </w:p>
    <w:p>
      <w:pPr>
        <w:pStyle w:val="ListBullet"/>
        <w:spacing w:after="60"/>
      </w:pPr>
      <w:r>
        <w:rPr>
          <w:b/>
        </w:rPr>
        <w:t>The public deployment has no Admin at all.</w:t>
      </w:r>
      <w:r>
        <w:t xml:space="preserve"> No signing secret is set there,</w:t>
      </w:r>
    </w:p>
    <w:p>
      <w:r>
        <w:t>so the capability is absent rather than open — which also means the kill switch cannot be demonstrated against the live URL.</w:t>
      </w:r>
    </w:p>
    <w:p>
      <w:pPr>
        <w:pStyle w:val="ListBullet"/>
        <w:spacing w:after="60"/>
      </w:pPr>
      <w:r>
        <w:rPr>
          <w:b/>
        </w:rPr>
        <w:t>The persona panel is not customer research.</w:t>
      </w:r>
      <w:r>
        <w:t xml:space="preserve"> It applies a rubric; it does</w:t>
      </w:r>
    </w:p>
    <w:p>
      <w:r>
        <w:t>not observe a reaction.</w:t>
      </w:r>
    </w:p>
    <w:p>
      <w:pPr>
        <w:pStyle w:val="ListBullet"/>
        <w:spacing w:after="60"/>
      </w:pPr>
      <w:r>
        <w:rPr>
          <w:b/>
        </w:rPr>
        <w:t>Synthetic control cannot fully control for weather here.</w:t>
      </w:r>
      <w:r>
        <w:t xml:space="preserve"> With four sites</w:t>
      </w:r>
    </w:p>
    <w:p>
      <w:r>
        <w:t>and one uniquely weather-elastic, the treated unit is inside the donors' hull on level and outside it on elasticity.</w:t>
      </w:r>
    </w:p>
    <w:p>
      <w:pPr>
        <w:pStyle w:val="Heading1"/>
      </w:pPr>
      <w:r>
        <w:t>12. Business case</w:t>
      </w:r>
    </w:p>
    <w:p>
      <w:r>
        <w:t>Stated as arithmetic with its assumptions visible, because no promotion has run and therefore nothing here is a measured return.</w:t>
      </w:r>
    </w:p>
    <w:p>
      <w:r>
        <w:t>What the system changes is not the size of a promotion budget but where it lands. The allocator distributes a fixed spend across fifteen channel × daypart cells rather than five channels, and the daypart split is where the money actually moves: aggregator spend pays back at midday and is wasted at 07:00, and near-store outdoor advertising only works within walking distance of a site.</w:t>
      </w:r>
    </w:p>
    <w:tbl>
      <w:tblPr>
        <w:tblW w:type="auto" w:w="0"/>
        <w:jc w:val="left"/>
        <w:tblLayout w:type="fixed"/>
        <w:tblLook w:firstColumn="1" w:firstRow="1" w:lastColumn="0" w:lastRow="0" w:noHBand="0" w:noVBand="1" w:val="04A0"/>
        <w:tblLayout w:type="fixed"/>
        <w:tblBorders>
          <w:top w:val="single" w:sz="6" w:color="D6DEE6"/>
          <w:bottom w:val="single" w:sz="6" w:color="D6DEE6"/>
          <w:insideH w:val="single" w:sz="6" w:color="D6DEE6"/>
          <w:left w:val="none"/>
          <w:right w:val="none"/>
          <w:insideV w:val="none"/>
        </w:tblBorders>
      </w:tblPr>
      <w:tblGrid>
        <w:gridCol w:w="3628"/>
        <w:gridCol w:w="2721"/>
        <w:gridCol w:w="2721"/>
      </w:tblGrid>
      <w:tr>
        <w:tc>
          <w:tcPr>
            <w:tcW w:type="dxa" w:w="3628"/>
            <w:shd w:val="clear" w:color="auto" w:fill="EEF3F7"/>
          </w:tcPr>
          <w:p>
            <w:pPr>
              <w:spacing w:after="40"/>
            </w:pPr>
            <w:r>
              <w:rPr>
                <w:rFonts w:ascii="Arial" w:hAnsi="Arial"/>
                <w:b/>
                <w:color w:val="1F4E79"/>
                <w:sz w:val="18"/>
              </w:rPr>
              <w:t>Lever</w:t>
            </w:r>
          </w:p>
        </w:tc>
        <w:tc>
          <w:tcPr>
            <w:tcW w:type="dxa" w:w="2721"/>
            <w:shd w:val="clear" w:color="auto" w:fill="EEF3F7"/>
          </w:tcPr>
          <w:p>
            <w:pPr>
              <w:spacing w:after="40"/>
            </w:pPr>
            <w:r>
              <w:rPr>
                <w:rFonts w:ascii="Arial" w:hAnsi="Arial"/>
                <w:b/>
                <w:color w:val="1F4E79"/>
                <w:sz w:val="18"/>
              </w:rPr>
              <w:t>Mechanism</w:t>
            </w:r>
          </w:p>
        </w:tc>
        <w:tc>
          <w:tcPr>
            <w:tcW w:type="dxa" w:w="2721"/>
            <w:shd w:val="clear" w:color="auto" w:fill="EEF3F7"/>
          </w:tcPr>
          <w:p>
            <w:pPr>
              <w:spacing w:after="40"/>
            </w:pPr>
            <w:r>
              <w:rPr>
                <w:rFonts w:ascii="Arial" w:hAnsi="Arial"/>
                <w:b/>
                <w:color w:val="1F4E79"/>
                <w:sz w:val="18"/>
              </w:rPr>
              <w:t>Status</w:t>
            </w:r>
          </w:p>
        </w:tc>
      </w:tr>
      <w:tr>
        <w:tc>
          <w:tcPr>
            <w:tcW w:type="dxa" w:w="3628"/>
          </w:tcPr>
          <w:p>
            <w:pPr>
              <w:spacing w:after="40"/>
            </w:pPr>
            <w:r>
              <w:rPr>
                <w:sz w:val="18"/>
              </w:rPr>
              <w:t>Staffing to the forecast</w:t>
            </w:r>
          </w:p>
        </w:tc>
        <w:tc>
          <w:tcPr>
            <w:tcW w:type="dxa" w:w="2721"/>
          </w:tcPr>
          <w:p>
            <w:pPr>
              <w:spacing w:after="40"/>
            </w:pPr>
            <w:r>
              <w:rPr>
                <w:sz w:val="18"/>
              </w:rPr>
              <w:t>MAE 28%–34% below "same hour last week"</w:t>
            </w:r>
          </w:p>
        </w:tc>
        <w:tc>
          <w:tcPr>
            <w:tcW w:type="dxa" w:w="2721"/>
          </w:tcPr>
          <w:p>
            <w:pPr>
              <w:spacing w:after="40"/>
            </w:pPr>
            <w:r>
              <w:rPr>
                <w:b/>
                <w:sz w:val="18"/>
              </w:rPr>
              <w:t>measured</w:t>
            </w:r>
          </w:p>
        </w:tc>
      </w:tr>
      <w:tr>
        <w:tc>
          <w:tcPr>
            <w:tcW w:type="dxa" w:w="3628"/>
          </w:tcPr>
          <w:p>
            <w:pPr>
              <w:spacing w:after="40"/>
            </w:pPr>
            <w:r>
              <w:rPr>
                <w:sz w:val="18"/>
              </w:rPr>
              <w:t>Promotion sized to the interval</w:t>
            </w:r>
          </w:p>
        </w:tc>
        <w:tc>
          <w:tcPr>
            <w:tcW w:type="dxa" w:w="2721"/>
          </w:tcPr>
          <w:p>
            <w:pPr>
              <w:spacing w:after="40"/>
            </w:pPr>
            <w:r>
              <w:rPr>
                <w:sz w:val="18"/>
              </w:rPr>
              <w:t>plans against the 80% lower bound, not the point estimate</w:t>
            </w:r>
          </w:p>
        </w:tc>
        <w:tc>
          <w:tcPr>
            <w:tcW w:type="dxa" w:w="2721"/>
          </w:tcPr>
          <w:p>
            <w:pPr>
              <w:spacing w:after="40"/>
            </w:pPr>
            <w:r>
              <w:rPr>
                <w:b/>
                <w:sz w:val="18"/>
              </w:rPr>
              <w:t>implemented</w:t>
            </w:r>
          </w:p>
        </w:tc>
      </w:tr>
      <w:tr>
        <w:tc>
          <w:tcPr>
            <w:tcW w:type="dxa" w:w="3628"/>
          </w:tcPr>
          <w:p>
            <w:pPr>
              <w:spacing w:after="40"/>
            </w:pPr>
            <w:r>
              <w:rPr>
                <w:sz w:val="18"/>
              </w:rPr>
              <w:t>Spend moved between dayparts</w:t>
            </w:r>
          </w:p>
        </w:tc>
        <w:tc>
          <w:tcPr>
            <w:tcW w:type="dxa" w:w="2721"/>
          </w:tcPr>
          <w:p>
            <w:pPr>
              <w:spacing w:after="40"/>
            </w:pPr>
            <w:r>
              <w:rPr>
                <w:sz w:val="18"/>
              </w:rPr>
              <w:t>concave allocator, optimum verified by equal marginal return</w:t>
            </w:r>
          </w:p>
        </w:tc>
        <w:tc>
          <w:tcPr>
            <w:tcW w:type="dxa" w:w="2721"/>
          </w:tcPr>
          <w:p>
            <w:pPr>
              <w:spacing w:after="40"/>
            </w:pPr>
            <w:r>
              <w:rPr>
                <w:b/>
                <w:sz w:val="18"/>
              </w:rPr>
              <w:t>implemented, elasticities assumed</w:t>
            </w:r>
          </w:p>
        </w:tc>
      </w:tr>
      <w:tr>
        <w:tc>
          <w:tcPr>
            <w:tcW w:type="dxa" w:w="3628"/>
          </w:tcPr>
          <w:p>
            <w:pPr>
              <w:spacing w:after="40"/>
            </w:pPr>
            <w:r>
              <w:rPr>
                <w:sz w:val="18"/>
              </w:rPr>
              <w:t>Copy cleared before it runs</w:t>
            </w:r>
          </w:p>
        </w:tc>
        <w:tc>
          <w:tcPr>
            <w:tcW w:type="dxa" w:w="2721"/>
          </w:tcPr>
          <w:p>
            <w:pPr>
              <w:spacing w:after="40"/>
            </w:pPr>
            <w:r>
              <w:rPr>
                <w:sz w:val="18"/>
              </w:rPr>
              <w:t>40-case gold set, 100% recall in the worst of three languages</w:t>
            </w:r>
          </w:p>
        </w:tc>
        <w:tc>
          <w:tcPr>
            <w:tcW w:type="dxa" w:w="2721"/>
          </w:tcPr>
          <w:p>
            <w:pPr>
              <w:spacing w:after="40"/>
            </w:pPr>
            <w:r>
              <w:rPr>
                <w:b/>
                <w:sz w:val="18"/>
              </w:rPr>
              <w:t>measured</w:t>
            </w:r>
          </w:p>
        </w:tc>
      </w:tr>
      <w:tr>
        <w:tc>
          <w:tcPr>
            <w:tcW w:type="dxa" w:w="3628"/>
          </w:tcPr>
          <w:p>
            <w:pPr>
              <w:spacing w:after="40"/>
            </w:pPr>
            <w:r>
              <w:rPr>
                <w:sz w:val="18"/>
              </w:rPr>
              <w:t>Lift measured instead of clicks</w:t>
            </w:r>
          </w:p>
        </w:tc>
        <w:tc>
          <w:tcPr>
            <w:tcW w:type="dxa" w:w="2721"/>
          </w:tcPr>
          <w:p>
            <w:pPr>
              <w:spacing w:after="40"/>
            </w:pPr>
            <w:r>
              <w:rPr>
                <w:sz w:val="18"/>
              </w:rPr>
              <w:t>synthetic control + CUPED, recovery within 2.61 points</w:t>
            </w:r>
          </w:p>
        </w:tc>
        <w:tc>
          <w:tcPr>
            <w:tcW w:type="dxa" w:w="2721"/>
          </w:tcPr>
          <w:p>
            <w:pPr>
              <w:spacing w:after="40"/>
            </w:pPr>
            <w:r>
              <w:rPr>
                <w:b/>
                <w:sz w:val="18"/>
              </w:rPr>
              <w:t>measured</w:t>
            </w:r>
          </w:p>
        </w:tc>
      </w:tr>
    </w:tbl>
    <w:p/>
    <w:p>
      <w:r>
        <w:t xml:space="preserve">The honest summary: </w:t>
      </w:r>
      <w:r>
        <w:rPr>
          <w:b/>
        </w:rPr>
        <w:t>four of five levers are demonstrated, and the one that would produce a currency figure is the one whose parameters are assumed.</w:t>
      </w:r>
      <w:r>
        <w:t xml:space="preserve"> A pilot replaces the assumed elasticities with measured lift, at which point the allocator's output becomes a forecast of return rather than a demonstration of method. Quoting a dirham figure before that would be inventing the only number anybody would actually act on.</w:t>
      </w:r>
    </w:p>
    <w:p>
      <w:pPr>
        <w:pStyle w:val="Heading1"/>
      </w:pPr>
      <w:r>
        <w:t>13. Conclusion</w:t>
      </w:r>
    </w:p>
    <w:p>
      <w:r>
        <w:t>The method holds on invented data because it is judged against a baseline that sees the same invented data. Replace the footfall series with a real POS export and nothing in the pipeline changes — that is the point of scoring against seasonal naive on held-out time rather than reporting a fit.</w:t>
      </w:r>
    </w:p>
    <w:p>
      <w:r>
        <w:t xml:space="preserve">What this project demonstrates is not that demand can be forecast, which is uncontroversial, but that a marketing system can be built so that </w:t>
      </w:r>
      <w:r>
        <w:rPr>
          <w:b/>
        </w:rPr>
        <w:t>every figure it shows can be traced to the script that produced it, and every claim it makes about its own safety has been attacked on purpose.</w:t>
      </w:r>
      <w:r>
        <w:t xml:space="preserve"> The gates that disagreed with each other found real defects: a metric that got worse, an estimator biased where nothing happened, a colour indistinguishable under deuteranopia, a forged header that engaged the kill switch. Each was fixed rather than tuned away, and the residuals that could not be fixed are stated here rather than omitted.</w:t>
      </w:r>
    </w:p>
    <w:p>
      <w:pPr>
        <w:pStyle w:val="Heading1"/>
      </w:pPr>
      <w:r>
        <w:t>Not advice</w:t>
      </w:r>
    </w:p>
    <w:p>
      <w:r>
        <w:t>This produces a marketing plan and a compliance opinion for a fictional brand as coursework. It is not legal advice, not regulatory clearance, and not a substitute for real customer research.</w:t>
      </w:r>
    </w:p>
    <w:sectPr w:rsidR="00FC693F" w:rsidRPr="0006063C" w:rsidSect="00034616">
      <w:headerReference w:type="default" r:id="rId9"/>
      <w:footerReference w:type="default" r:id="rId10"/>
      <w:pgSz w:w="12240" w:h="15840"/>
      <w:pgMar w:top="1361" w:right="1474" w:bottom="1247" w:left="147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B7B"/>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92" w:val="right"/>
      </w:tabs>
      <w:pBdr>
        <w:bottom w:val="single" w:sz="6" w:space="6" w:color="D6DEE6"/>
      </w:pBdr>
    </w:pPr>
    <w:r>
      <w:rPr>
        <w:rFonts w:ascii="Arial" w:hAnsi="Arial"/>
        <w:color w:val="5A6B7B"/>
        <w:sz w:val="17"/>
      </w:rPr>
      <w:t>UPLIFT / MAWSIM</w:t>
      <w:tab/>
      <w:t>AI 208 — AI in Marketing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B2A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1B2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