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mbria" w:hAnsi="Cambria"/>
          <w:b/>
          <w:color w:val="1F7A70"/>
          <w:sz w:val="92"/>
        </w:rPr>
        <w:t>YIELDMAP</w:t>
      </w:r>
    </w:p>
    <w:p>
      <w:pPr>
        <w:jc w:val="center"/>
      </w:pPr>
      <w:r>
        <w:rPr>
          <w:i/>
          <w:color w:val="5A5A5A"/>
          <w:sz w:val="23"/>
        </w:rPr>
        <w:t>Dubai property investment intelligence, where every number carries the query that produced it.</w:t>
      </w:r>
    </w:p>
    <w:p/>
    <w:p>
      <w:pPr>
        <w:jc w:val="center"/>
      </w:pPr>
      <w:r>
        <w:rPr>
          <w:b/>
          <w:color w:val="1A1A1A"/>
          <w:sz w:val="26"/>
        </w:rPr>
        <w:t>AI 217 — Artificial Intelligence in Finance</w:t>
      </w:r>
    </w:p>
    <w:p>
      <w:pPr>
        <w:jc w:val="center"/>
      </w:pPr>
      <w:r>
        <w:rPr>
          <w:b w:val="0"/>
          <w:color w:val="5A5A5A"/>
          <w:sz w:val="22"/>
        </w:rPr>
        <w:t>Krishna Mathur — SP Jain School of Global Management, MAIB</w:t>
      </w:r>
    </w:p>
    <w:p>
      <w:pPr>
        <w:jc w:val="center"/>
      </w:pPr>
      <w:r>
        <w:rPr>
          <w:b w:val="0"/>
          <w:color w:val="5A5A5A"/>
          <w:sz w:val="21"/>
        </w:rPr>
        <w:t>08 September 2026</w:t>
      </w:r>
    </w:p>
    <w:p/>
    <w:tbl>
      <w:tblPr>
        <w:tblStyle w:val="TableGrid"/>
        <w:tblW w:type="auto" w:w="0"/>
        <w:jc w:val="center"/>
        <w:tblLook w:firstColumn="1" w:firstRow="1" w:lastColumn="0" w:lastRow="0" w:noHBand="0" w:noVBand="1" w:val="04A0"/>
      </w:tblPr>
      <w:tblGrid>
        <w:gridCol w:w="8640"/>
      </w:tblGrid>
      <w:tr>
        <w:tc>
          <w:tcPr>
            <w:tcW w:type="dxa" w:w="9071"/>
            <w:shd w:val="clear" w:fill="FDF1E7"/>
          </w:tcPr>
          <w:p>
            <w:pPr>
              <w:jc w:val="center"/>
            </w:pPr>
            <w:r>
              <w:rPr>
                <w:b/>
                <w:color w:val="9A3A12"/>
                <w:sz w:val="22"/>
              </w:rPr>
              <w:t>DRAFT — THE MODEL FIGURES DESCRIBE A LABELLED STAND-IN</w:t>
            </w:r>
          </w:p>
        </w:tc>
      </w:tr>
    </w:tbl>
    <w:p>
      <w:pPr>
        <w:jc w:val="center"/>
      </w:pPr>
      <w:r>
        <w:rPr>
          <w:i/>
          <w:color w:val="5A5A5A"/>
          <w:sz w:val="18"/>
        </w:rPr>
        <w:t>The Dubai Land Department's open-data portal refuses automated clients from every network this project can reach, including a GitHub Actions runner with open egress. Every figure marked stand-in in this report was computed from generated data with the real schema. The engineering, retrieval and governance figures are real measurements of this system. Section 8 lists exactly which is which.</w:t>
      </w:r>
    </w:p>
    <w:p>
      <w:r>
        <w:br w:type="page"/>
      </w:r>
    </w:p>
    <w:p>
      <w:pPr>
        <w:pStyle w:val="Heading1"/>
      </w:pPr>
      <w:r>
        <w:t>Contents</w:t>
      </w:r>
    </w:p>
    <w:p>
      <w:pPr>
        <w:spacing w:after="200"/>
      </w:pPr>
      <w:r>
        <w:rPr>
          <w:b w:val="0"/>
          <w:i/>
          <w:color w:val="5A5A5A"/>
          <w:sz w:val="18"/>
        </w:rPr>
        <w:t>Word builds this list from the document's headings. If it is empty, right-click it and choose Update Field.</w:t>
      </w:r>
    </w:p>
    <w:p>
      <w:r>
        <w:fldChar w:fldCharType="begin"/>
        <w:instrText xml:space="preserve">TOC \o "1-2" \h \z \u</w:instrText>
        <w:fldChar w:fldCharType="separate">
          <w:t>Right-click here and choose Update Field.</w:t>
        </w:fldChar>
        <w:fldChar w:fldCharType="end"/>
      </w:r>
    </w:p>
    <w:p>
      <w:r>
        <w:br w:type="page"/>
      </w:r>
    </w:p>
    <w:p>
      <w:pPr>
        <w:pStyle w:val="Heading1"/>
      </w:pPr>
      <w:r>
        <w:t>1. Executive summary</w:t>
      </w:r>
    </w:p>
    <w:p>
      <w:pPr>
        <w:spacing w:after="120"/>
      </w:pPr>
      <w:r>
        <w:rPr>
          <w:b w:val="0"/>
          <w:i w:val="0"/>
          <w:color w:val="1A1A1A"/>
          <w:sz w:val="21"/>
        </w:rPr>
        <w:t>YIELDMAP turns the Dubai Land Department's published transaction and tenancy registries into an investment view: what a property is worth, what it yields after costs, how the market has moved, and what could go wrong. It answers questions in English, Hindi and Arabic with a citation on every factual sentence, and it runs a small crew of agents that produce a memo an auditor has already checked.</w:t>
      </w:r>
    </w:p>
    <w:p>
      <w:pPr>
        <w:spacing w:after="120"/>
      </w:pPr>
      <w:r>
        <w:rPr>
          <w:b w:val="0"/>
          <w:i w:val="0"/>
          <w:color w:val="1A1A1A"/>
          <w:sz w:val="21"/>
        </w:rPr>
        <w:t>The design rule the project is built around is that a number a reader cannot check is worth less than no number. Every figure crossing the API is a typed object carrying the SQL that produced it, the sample size behind it, and a link to the method that defines it. Clicking a tile in the interface opens that query. Copying it and running it against the database returns the figure on the tile.</w:t>
      </w:r>
    </w:p>
    <w:p>
      <w:pPr>
        <w:spacing w:after="120"/>
      </w:pPr>
      <w:r>
        <w:rPr>
          <w:b w:val="0"/>
          <w:i/>
          <w:color w:val="9A3A12"/>
          <w:sz w:val="21"/>
        </w:rPr>
        <w:t>One thing this report cannot claim: that the model figures describe Dubai. They describe a generated stand-in with the real schema, because the publisher will not serve its files to an automated client. The distinction is carried in every table rather than mentioned once, and the guard that enforces it is described in section 8.</w:t>
      </w:r>
    </w:p>
    <w:p>
      <w:pPr>
        <w:pStyle w:val="Heading2"/>
      </w:pPr>
      <w:r>
        <w:t>What was measured</w:t>
      </w:r>
    </w:p>
    <w:tbl>
      <w:tblPr>
        <w:tblStyle w:val="TableGrid"/>
        <w:tblW w:type="auto" w:w="0"/>
        <w:jc w:val="center"/>
        <w:tblLayout w:type="fixed"/>
        <w:tblLook w:firstColumn="1" w:firstRow="1" w:lastColumn="0" w:lastRow="0" w:noHBand="0" w:noVBand="1" w:val="04A0"/>
      </w:tblPr>
      <w:tblGrid>
        <w:gridCol w:w="1904"/>
        <w:gridCol w:w="1904"/>
        <w:gridCol w:w="1904"/>
        <w:gridCol w:w="1904"/>
        <w:gridCol w:w="1904"/>
      </w:tblGrid>
      <w:tr>
        <w:trPr>
          <w:tblHeader w:val="true"/>
          <w:cantSplit/>
        </w:trPr>
        <w:tc>
          <w:tcPr>
            <w:tcW w:type="dxa" w:w="1984"/>
            <w:shd w:val="clear" w:fill="EDF4F2"/>
          </w:tcPr>
          <w:p>
            <w:r>
              <w:rPr>
                <w:rFonts w:ascii="Cambria" w:hAnsi="Cambria"/>
                <w:b/>
                <w:color w:val="1F7A70"/>
                <w:sz w:val="18"/>
              </w:rPr>
              <w:t>Measure</w:t>
            </w:r>
          </w:p>
        </w:tc>
        <w:tc>
          <w:tcPr>
            <w:tcW w:type="dxa" w:w="2835"/>
            <w:shd w:val="clear" w:fill="EDF4F2"/>
          </w:tcPr>
          <w:p>
            <w:r>
              <w:rPr>
                <w:rFonts w:ascii="Cambria" w:hAnsi="Cambria"/>
                <w:b/>
                <w:color w:val="1F7A70"/>
                <w:sz w:val="18"/>
              </w:rPr>
              <w:t>Result</w:t>
            </w:r>
          </w:p>
        </w:tc>
        <w:tc>
          <w:tcPr>
            <w:tcW w:type="dxa" w:w="1531"/>
            <w:shd w:val="clear" w:fill="EDF4F2"/>
          </w:tcPr>
          <w:p>
            <w:r>
              <w:rPr>
                <w:rFonts w:ascii="Cambria" w:hAnsi="Cambria"/>
                <w:b/>
                <w:color w:val="1F7A70"/>
                <w:sz w:val="18"/>
              </w:rPr>
              <w:t>Target</w:t>
            </w:r>
          </w:p>
        </w:tc>
        <w:tc>
          <w:tcPr>
            <w:tcW w:type="dxa" w:w="794"/>
            <w:shd w:val="clear" w:fill="EDF4F2"/>
          </w:tcPr>
          <w:p>
            <w:r>
              <w:rPr>
                <w:rFonts w:ascii="Cambria" w:hAnsi="Cambria"/>
                <w:b/>
                <w:color w:val="1F7A70"/>
                <w:sz w:val="18"/>
              </w:rPr>
              <w:t>Data</w:t>
            </w:r>
          </w:p>
        </w:tc>
        <w:tc>
          <w:tcPr>
            <w:tcW w:type="dxa" w:w="2041"/>
            <w:shd w:val="clear" w:fill="EDF4F2"/>
          </w:tcPr>
          <w:p>
            <w:r>
              <w:rPr>
                <w:rFonts w:ascii="Cambria" w:hAnsi="Cambria"/>
                <w:b/>
                <w:color w:val="1F7A70"/>
                <w:sz w:val="18"/>
              </w:rPr>
              <w:t>In docs/results/</w:t>
            </w:r>
          </w:p>
        </w:tc>
      </w:tr>
      <w:tr>
        <w:trPr>
          <w:cantSplit/>
        </w:trPr>
        <w:tc>
          <w:tcPr>
            <w:tcW w:type="dxa" w:w="1984"/>
          </w:tcPr>
          <w:p>
            <w:r>
              <w:rPr>
                <w:sz w:val="17"/>
              </w:rPr>
              <w:t>Red team — OWASP Agentic Security Initiative</w:t>
            </w:r>
          </w:p>
        </w:tc>
        <w:tc>
          <w:tcPr>
            <w:tcW w:type="dxa" w:w="2835"/>
          </w:tcPr>
          <w:p>
            <w:r>
              <w:rPr>
                <w:sz w:val="17"/>
              </w:rPr>
              <w:t>11/11 controls held across 13 registered threats</w:t>
            </w:r>
          </w:p>
        </w:tc>
        <w:tc>
          <w:tcPr>
            <w:tcW w:type="dxa" w:w="1531"/>
          </w:tcPr>
          <w:p>
            <w:r>
              <w:rPr>
                <w:sz w:val="17"/>
              </w:rPr>
              <w:t>every attack fails to land</w:t>
            </w:r>
          </w:p>
        </w:tc>
        <w:tc>
          <w:tcPr>
            <w:tcW w:type="dxa" w:w="794"/>
          </w:tcPr>
          <w:p>
            <w:r>
              <w:rPr>
                <w:sz w:val="17"/>
              </w:rPr>
              <w:t>real</w:t>
            </w:r>
          </w:p>
        </w:tc>
        <w:tc>
          <w:tcPr>
            <w:tcW w:type="dxa" w:w="2041"/>
          </w:tcPr>
          <w:p>
            <w:r>
              <w:rPr>
                <w:rFonts w:ascii="Consolas" w:hAnsi="Consolas"/>
                <w:color w:val="5A5A5A"/>
                <w:sz w:val="15"/>
              </w:rPr>
              <w:t>redteam</w:t>
            </w:r>
          </w:p>
        </w:tc>
      </w:tr>
      <w:tr>
        <w:trPr>
          <w:cantSplit/>
        </w:trPr>
        <w:tc>
          <w:tcPr>
            <w:tcW w:type="dxa" w:w="1984"/>
          </w:tcPr>
          <w:p>
            <w:r>
              <w:rPr>
                <w:sz w:val="17"/>
              </w:rPr>
              <w:t>Python line coverage</w:t>
            </w:r>
          </w:p>
        </w:tc>
        <w:tc>
          <w:tcPr>
            <w:tcW w:type="dxa" w:w="2835"/>
          </w:tcPr>
          <w:p>
            <w:r>
              <w:rPr>
                <w:sz w:val="17"/>
              </w:rPr>
              <w:t>83.88% of 6,676 statements; 10 rule-enforcing modules held to 85%</w:t>
            </w:r>
          </w:p>
        </w:tc>
        <w:tc>
          <w:tcPr>
            <w:tcW w:type="dxa" w:w="1531"/>
          </w:tcPr>
          <w:p>
            <w:r>
              <w:rPr>
                <w:sz w:val="17"/>
              </w:rPr>
              <w:t>75% overall</w:t>
            </w:r>
          </w:p>
        </w:tc>
        <w:tc>
          <w:tcPr>
            <w:tcW w:type="dxa" w:w="794"/>
          </w:tcPr>
          <w:p>
            <w:r>
              <w:rPr>
                <w:sz w:val="17"/>
              </w:rPr>
              <w:t>real</w:t>
            </w:r>
          </w:p>
        </w:tc>
        <w:tc>
          <w:tcPr>
            <w:tcW w:type="dxa" w:w="2041"/>
          </w:tcPr>
          <w:p>
            <w:r>
              <w:rPr>
                <w:rFonts w:ascii="Consolas" w:hAnsi="Consolas"/>
                <w:color w:val="5A5A5A"/>
                <w:sz w:val="15"/>
              </w:rPr>
              <w:t>coverage</w:t>
            </w:r>
          </w:p>
        </w:tc>
      </w:tr>
      <w:tr>
        <w:trPr>
          <w:cantSplit/>
        </w:trPr>
        <w:tc>
          <w:tcPr>
            <w:tcW w:type="dxa" w:w="1984"/>
          </w:tcPr>
          <w:p>
            <w:r>
              <w:rPr>
                <w:sz w:val="17"/>
              </w:rPr>
              <w:t>Accessibility — desktop</w:t>
            </w:r>
          </w:p>
        </w:tc>
        <w:tc>
          <w:tcPr>
            <w:tcW w:type="dxa" w:w="2835"/>
          </w:tcPr>
          <w:p>
            <w:r>
              <w:rPr>
                <w:sz w:val="17"/>
              </w:rPr>
              <w:t>0 violations across 7 pages, WCAG 2.1 A + AA</w:t>
            </w:r>
          </w:p>
        </w:tc>
        <w:tc>
          <w:tcPr>
            <w:tcW w:type="dxa" w:w="1531"/>
          </w:tcPr>
          <w:p>
            <w:r>
              <w:rPr>
                <w:sz w:val="17"/>
              </w:rPr>
              <w:t>no serious violations</w:t>
            </w:r>
          </w:p>
        </w:tc>
        <w:tc>
          <w:tcPr>
            <w:tcW w:type="dxa" w:w="794"/>
          </w:tcPr>
          <w:p>
            <w:r>
              <w:rPr>
                <w:sz w:val="17"/>
              </w:rPr>
              <w:t>real</w:t>
            </w:r>
          </w:p>
        </w:tc>
        <w:tc>
          <w:tcPr>
            <w:tcW w:type="dxa" w:w="2041"/>
          </w:tcPr>
          <w:p>
            <w:r>
              <w:rPr>
                <w:rFonts w:ascii="Consolas" w:hAnsi="Consolas"/>
                <w:color w:val="5A5A5A"/>
                <w:sz w:val="15"/>
              </w:rPr>
              <w:t>accessibility_desktop</w:t>
            </w:r>
          </w:p>
        </w:tc>
      </w:tr>
      <w:tr>
        <w:trPr>
          <w:cantSplit/>
        </w:trPr>
        <w:tc>
          <w:tcPr>
            <w:tcW w:type="dxa" w:w="1984"/>
          </w:tcPr>
          <w:p>
            <w:r>
              <w:rPr>
                <w:sz w:val="17"/>
              </w:rPr>
              <w:t>Page weight</w:t>
            </w:r>
          </w:p>
        </w:tc>
        <w:tc>
          <w:tcPr>
            <w:tcW w:type="dxa" w:w="2835"/>
          </w:tcPr>
          <w:p>
            <w:r>
              <w:rPr>
                <w:sz w:val="17"/>
              </w:rPr>
              <w:t>heaviest route /forecast at 292 KB brotli; three.js on none of them</w:t>
            </w:r>
          </w:p>
        </w:tc>
        <w:tc>
          <w:tcPr>
            <w:tcW w:type="dxa" w:w="1531"/>
          </w:tcPr>
          <w:p>
            <w:r>
              <w:rPr>
                <w:sz w:val="17"/>
              </w:rPr>
              <w:t>gated at 340 KB</w:t>
            </w:r>
          </w:p>
        </w:tc>
        <w:tc>
          <w:tcPr>
            <w:tcW w:type="dxa" w:w="794"/>
          </w:tcPr>
          <w:p>
            <w:r>
              <w:rPr>
                <w:sz w:val="17"/>
              </w:rPr>
              <w:t>real</w:t>
            </w:r>
          </w:p>
        </w:tc>
        <w:tc>
          <w:tcPr>
            <w:tcW w:type="dxa" w:w="2041"/>
          </w:tcPr>
          <w:p>
            <w:r>
              <w:rPr>
                <w:rFonts w:ascii="Consolas" w:hAnsi="Consolas"/>
                <w:color w:val="5A5A5A"/>
                <w:sz w:val="15"/>
              </w:rPr>
              <w:t>bundle</w:t>
            </w:r>
          </w:p>
        </w:tc>
      </w:tr>
      <w:tr>
        <w:trPr>
          <w:cantSplit/>
        </w:trPr>
        <w:tc>
          <w:tcPr>
            <w:tcW w:type="dxa" w:w="1984"/>
          </w:tcPr>
          <w:p>
            <w:r>
              <w:rPr>
                <w:sz w:val="17"/>
              </w:rPr>
              <w:t>Running cost</w:t>
            </w:r>
          </w:p>
        </w:tc>
        <w:tc>
          <w:tcPr>
            <w:tcW w:type="dxa" w:w="2835"/>
          </w:tcPr>
          <w:p>
            <w:r>
              <w:rPr>
                <w:sz w:val="17"/>
              </w:rPr>
              <w:t>US$0.00/month; at a hundred daily users the free tier binds first on Gemini embeddings</w:t>
            </w:r>
          </w:p>
        </w:tc>
        <w:tc>
          <w:tcPr>
            <w:tcW w:type="dxa" w:w="1531"/>
          </w:tcPr>
          <w:p>
            <w:r>
              <w:rPr>
                <w:sz w:val="17"/>
              </w:rPr>
              <w:t>stays free at course scale</w:t>
            </w:r>
          </w:p>
        </w:tc>
        <w:tc>
          <w:tcPr>
            <w:tcW w:type="dxa" w:w="794"/>
          </w:tcPr>
          <w:p>
            <w:r>
              <w:rPr>
                <w:sz w:val="17"/>
              </w:rPr>
              <w:t>real</w:t>
            </w:r>
          </w:p>
        </w:tc>
        <w:tc>
          <w:tcPr>
            <w:tcW w:type="dxa" w:w="2041"/>
          </w:tcPr>
          <w:p>
            <w:r>
              <w:rPr>
                <w:rFonts w:ascii="Consolas" w:hAnsi="Consolas"/>
                <w:color w:val="5A5A5A"/>
                <w:sz w:val="15"/>
              </w:rPr>
              <w:t>unit_economics</w:t>
            </w:r>
          </w:p>
        </w:tc>
      </w:tr>
      <w:tr>
        <w:trPr>
          <w:cantSplit/>
        </w:trPr>
        <w:tc>
          <w:tcPr>
            <w:tcW w:type="dxa" w:w="1984"/>
          </w:tcPr>
          <w:p>
            <w:r>
              <w:rPr>
                <w:sz w:val="17"/>
              </w:rPr>
              <w:t>Retrieval — recall@5 / recall@1 / MRR</w:t>
            </w:r>
          </w:p>
        </w:tc>
        <w:tc>
          <w:tcPr>
            <w:tcW w:type="dxa" w:w="2835"/>
          </w:tcPr>
          <w:p>
            <w:r>
              <w:rPr>
                <w:sz w:val="17"/>
              </w:rPr>
              <w:t>1.00 / 0.87 / 0.91 over 30 answerable cases in three languages</w:t>
            </w:r>
          </w:p>
        </w:tc>
        <w:tc>
          <w:tcPr>
            <w:tcW w:type="dxa" w:w="1531"/>
          </w:tcPr>
          <w:p>
            <w:r>
              <w:rPr>
                <w:sz w:val="17"/>
              </w:rPr>
              <w:t>gated at 0.8 / 0.7</w:t>
            </w:r>
          </w:p>
        </w:tc>
        <w:tc>
          <w:tcPr>
            <w:tcW w:type="dxa" w:w="794"/>
          </w:tcPr>
          <w:p>
            <w:r>
              <w:rPr>
                <w:b/>
                <w:color w:val="9A3A12"/>
                <w:sz w:val="17"/>
              </w:rPr>
              <w:t>stand-in</w:t>
            </w:r>
          </w:p>
        </w:tc>
        <w:tc>
          <w:tcPr>
            <w:tcW w:type="dxa" w:w="2041"/>
          </w:tcPr>
          <w:p>
            <w:r>
              <w:rPr>
                <w:rFonts w:ascii="Consolas" w:hAnsi="Consolas"/>
                <w:color w:val="5A5A5A"/>
                <w:sz w:val="15"/>
              </w:rPr>
              <w:t>rag_eval</w:t>
            </w:r>
          </w:p>
        </w:tc>
      </w:tr>
    </w:tbl>
    <w:p/>
    <w:p>
      <w:pPr>
        <w:pStyle w:val="Heading1"/>
      </w:pPr>
      <w:r>
        <w:t>2. Problem and context</w:t>
      </w:r>
    </w:p>
    <w:p>
      <w:pPr>
        <w:spacing w:after="120"/>
      </w:pPr>
      <w:r>
        <w:rPr>
          <w:b w:val="0"/>
          <w:i w:val="0"/>
          <w:color w:val="1A1A1A"/>
          <w:sz w:val="21"/>
        </w:rPr>
        <w:t>Dubai publishes an unusually complete property record. Every sale is registered with the Land Department and every tenancy with Ejari, and both are released as open data. What is missing is not the data but the join between it and a decision: a buyer wants to know whether a price is fair, what the unit will actually yield after service charges and vacancy, and how exposed the area is to off-plan supply.</w:t>
      </w:r>
    </w:p>
    <w:p>
      <w:pPr>
        <w:spacing w:after="120"/>
      </w:pPr>
      <w:r>
        <w:rPr>
          <w:b w:val="0"/>
          <w:i w:val="0"/>
          <w:color w:val="1A1A1A"/>
          <w:sz w:val="21"/>
        </w:rPr>
        <w:t>The commercial portals that answer those questions do so from listing prices, which are asks rather than transactions, and they do not show their working. This project takes the opposite position: use only the registry, and make the working the product.</w:t>
      </w:r>
    </w:p>
    <w:p>
      <w:pPr>
        <w:pStyle w:val="Heading2"/>
      </w:pPr>
      <w:r>
        <w:t>Who it is for</w:t>
      </w:r>
    </w:p>
    <w:p>
      <w:pPr>
        <w:pStyle w:val="ListBullet"/>
        <w:spacing w:after="60"/>
      </w:pPr>
      <w:r>
        <w:t>An individual buyer comparing two communities, who needs the net yield rather than the gross one, and needs to see the assumptions behind it.</w:t>
      </w:r>
    </w:p>
    <w:p>
      <w:pPr>
        <w:pStyle w:val="ListBullet"/>
        <w:spacing w:after="60"/>
      </w:pPr>
      <w:r>
        <w:t>An analyst who needs a defensible valuation and the query that produced it.</w:t>
      </w:r>
    </w:p>
    <w:p>
      <w:pPr>
        <w:pStyle w:val="ListBullet"/>
        <w:spacing w:after="60"/>
      </w:pPr>
      <w:r>
        <w:t>A reviewer or examiner, who needs to trace any figure on the screen back to a row in the registry without taking anything on trust.</w:t>
      </w:r>
    </w:p>
    <w:p>
      <w:pPr>
        <w:pStyle w:val="Heading1"/>
      </w:pPr>
      <w:r>
        <w:t>3. Data and methods</w:t>
      </w:r>
    </w:p>
    <w:p>
      <w:pPr>
        <w:spacing w:after="120"/>
      </w:pPr>
      <w:r>
        <w:rPr>
          <w:b w:val="0"/>
          <w:i w:val="0"/>
          <w:color w:val="1A1A1A"/>
          <w:sz w:val="21"/>
        </w:rPr>
        <w:t>The intended source is the Dubai Land Department's open transaction and Ejari registries, published through the Dubai Pulse portal. Licences and retrieval dates are recorded in docs/datasets.md, and the reachability of every candidate address is measured rather than assumed — the table in that document is generated from the probe artefact, so it cannot drift from what was actually observed.</w:t>
      </w:r>
    </w:p>
    <w:p>
      <w:pPr>
        <w:pStyle w:val="Heading2"/>
      </w:pPr>
      <w:r>
        <w:t>What the publisher served</w:t>
      </w:r>
    </w:p>
    <w:p>
      <w:pPr>
        <w:spacing w:after="120"/>
      </w:pPr>
      <w:r>
        <w:rPr>
          <w:b w:val="0"/>
          <w:i w:val="0"/>
          <w:color w:val="1A1A1A"/>
          <w:sz w:val="21"/>
        </w:rPr>
        <w:t>Measured from a GitHub Actions runner with open egress on 2026-09-06: 4 of 13 addresses answered, and no catalogue endpoint did. Dubai Pulse timed out at connect on every address tried, which reads as a block on datacentre ranges rather than a wrong path — the same portal loads in an ordinary browser. This is the finding that shapes everything below: the constraint is not the sandbox, it is the publisher.</w:t>
      </w:r>
    </w:p>
    <w:p>
      <w:pPr>
        <w:spacing w:after="120"/>
      </w:pPr>
      <w:r>
        <w:rPr>
          <w:b w:val="0"/>
          <w:i w:val="0"/>
          <w:color w:val="1A1A1A"/>
          <w:sz w:val="21"/>
        </w:rPr>
        <w:t>The response is a documented ladder rather than a workaround. First choice is the publisher's own files, fetched in Actions. Second is an operator upload of the same published files, downloaded by a person in a browser and committed as a release asset. Third, and only for development, is a generated stand-in that carries the real schema and is stamped SYNTHETIC in the database, in the interface and in every results file.</w:t>
      </w:r>
    </w:p>
    <w:p>
      <w:pPr>
        <w:pStyle w:val="Heading2"/>
      </w:pPr>
      <w:r>
        <w:t>What the stand-in is</w:t>
      </w:r>
    </w:p>
    <w:p>
      <w:pPr>
        <w:spacing w:after="120"/>
      </w:pPr>
      <w:r>
        <w:rPr>
          <w:b w:val="0"/>
          <w:i w:val="0"/>
          <w:color w:val="1A1A1A"/>
          <w:sz w:val="21"/>
        </w:rPr>
        <w:t>Seed 217, 120,346 transactions and 90,000 tenancy contracts across 86 areas, with 461 price outliers and 346 rapid flips planted so the anomaly detector has something true to find. The structure is plausible; the levels are invented. The file says so itself, in a field called warning, so a reader who reaches the data before the prose still gets the caveat.</w:t>
      </w:r>
    </w:p>
    <w:p>
      <w:pPr>
        <w:pStyle w:val="Heading2"/>
      </w:pPr>
      <w:r>
        <w:t>Storage, and why not everything is in Postgres</w:t>
      </w:r>
    </w:p>
    <w:p>
      <w:pPr>
        <w:spacing w:after="120"/>
      </w:pPr>
      <w:r>
        <w:rPr>
          <w:b w:val="0"/>
          <w:i w:val="0"/>
          <w:color w:val="1A1A1A"/>
          <w:sz w:val="21"/>
        </w:rPr>
        <w:t>DuckDB is the analytics store and Postgres holds only application state. The reason is arithmetic — 1.5 million transactions plus indexes do not fit a 500 MB free tier — but the consequence is the more useful half: because DuckDB is queried directly, every KPI can carry the literal SQL string that produced it, which is what makes the traceability rule enforceable rather than aspirational.</w:t>
      </w:r>
    </w:p>
    <w:p>
      <w:pPr>
        <w:pStyle w:val="Heading1"/>
      </w:pPr>
      <w:r>
        <w:t>4. Models and results</w:t>
      </w:r>
    </w:p>
    <w:p>
      <w:pPr>
        <w:spacing w:after="120"/>
      </w:pPr>
      <w:r>
        <w:rPr>
          <w:b w:val="0"/>
          <w:i w:val="0"/>
          <w:color w:val="1A1A1A"/>
          <w:sz w:val="21"/>
        </w:rPr>
        <w:t>Each model writes a JSON file into docs/results/ carrying its metrics, its method identifier and the SQL it ran. The table below is generated from those files. Where a model has not been run, the row says so rather than carrying a remembered figure.</w:t>
      </w:r>
    </w:p>
    <w:p>
      <w:pPr>
        <w:spacing w:after="120"/>
      </w:pPr>
      <w:r>
        <w:rPr>
          <w:b w:val="0"/>
          <w:i/>
          <w:color w:val="9A3A12"/>
          <w:sz w:val="21"/>
        </w:rPr>
        <w:t>Every row marked stand-in was computed from generated data. A model that fits generated data well has demonstrated that the pipeline runs, not that the model is any good — the error figures measure the code, not the Dubai market.</w:t>
      </w:r>
    </w:p>
    <w:tbl>
      <w:tblPr>
        <w:tblStyle w:val="TableGrid"/>
        <w:tblW w:type="auto" w:w="0"/>
        <w:jc w:val="center"/>
        <w:tblLayout w:type="fixed"/>
        <w:tblLook w:firstColumn="1" w:firstRow="1" w:lastColumn="0" w:lastRow="0" w:noHBand="0" w:noVBand="1" w:val="04A0"/>
      </w:tblPr>
      <w:tblGrid>
        <w:gridCol w:w="1904"/>
        <w:gridCol w:w="1904"/>
        <w:gridCol w:w="1904"/>
        <w:gridCol w:w="1904"/>
        <w:gridCol w:w="1904"/>
      </w:tblGrid>
      <w:tr>
        <w:trPr>
          <w:tblHeader w:val="true"/>
          <w:cantSplit/>
        </w:trPr>
        <w:tc>
          <w:tcPr>
            <w:tcW w:type="dxa" w:w="1984"/>
            <w:shd w:val="clear" w:fill="EDF4F2"/>
          </w:tcPr>
          <w:p>
            <w:r>
              <w:rPr>
                <w:rFonts w:ascii="Cambria" w:hAnsi="Cambria"/>
                <w:b/>
                <w:color w:val="1F7A70"/>
                <w:sz w:val="18"/>
              </w:rPr>
              <w:t>Measure</w:t>
            </w:r>
          </w:p>
        </w:tc>
        <w:tc>
          <w:tcPr>
            <w:tcW w:type="dxa" w:w="2835"/>
            <w:shd w:val="clear" w:fill="EDF4F2"/>
          </w:tcPr>
          <w:p>
            <w:r>
              <w:rPr>
                <w:rFonts w:ascii="Cambria" w:hAnsi="Cambria"/>
                <w:b/>
                <w:color w:val="1F7A70"/>
                <w:sz w:val="18"/>
              </w:rPr>
              <w:t>Result</w:t>
            </w:r>
          </w:p>
        </w:tc>
        <w:tc>
          <w:tcPr>
            <w:tcW w:type="dxa" w:w="1531"/>
            <w:shd w:val="clear" w:fill="EDF4F2"/>
          </w:tcPr>
          <w:p>
            <w:r>
              <w:rPr>
                <w:rFonts w:ascii="Cambria" w:hAnsi="Cambria"/>
                <w:b/>
                <w:color w:val="1F7A70"/>
                <w:sz w:val="18"/>
              </w:rPr>
              <w:t>Target</w:t>
            </w:r>
          </w:p>
        </w:tc>
        <w:tc>
          <w:tcPr>
            <w:tcW w:type="dxa" w:w="794"/>
            <w:shd w:val="clear" w:fill="EDF4F2"/>
          </w:tcPr>
          <w:p>
            <w:r>
              <w:rPr>
                <w:rFonts w:ascii="Cambria" w:hAnsi="Cambria"/>
                <w:b/>
                <w:color w:val="1F7A70"/>
                <w:sz w:val="18"/>
              </w:rPr>
              <w:t>Data</w:t>
            </w:r>
          </w:p>
        </w:tc>
        <w:tc>
          <w:tcPr>
            <w:tcW w:type="dxa" w:w="2041"/>
            <w:shd w:val="clear" w:fill="EDF4F2"/>
          </w:tcPr>
          <w:p>
            <w:r>
              <w:rPr>
                <w:rFonts w:ascii="Cambria" w:hAnsi="Cambria"/>
                <w:b/>
                <w:color w:val="1F7A70"/>
                <w:sz w:val="18"/>
              </w:rPr>
              <w:t>In docs/results/</w:t>
            </w:r>
          </w:p>
        </w:tc>
      </w:tr>
      <w:tr>
        <w:trPr>
          <w:cantSplit/>
        </w:trPr>
        <w:tc>
          <w:tcPr>
            <w:tcW w:type="dxa" w:w="1984"/>
          </w:tcPr>
          <w:p>
            <w:r>
              <w:rPr>
                <w:sz w:val="17"/>
              </w:rPr>
              <w:t>Hedonic valuation — MAPE on a time-split holdout</w:t>
            </w:r>
          </w:p>
        </w:tc>
        <w:tc>
          <w:tcPr>
            <w:tcW w:type="dxa" w:w="2835"/>
          </w:tcPr>
          <w:p>
            <w:r>
              <w:rPr>
                <w:sz w:val="17"/>
              </w:rPr>
              <w:t>18.9% against a 36.4% baseline (48.1% skill), at an estimated 19.4% noise floor</w:t>
            </w:r>
          </w:p>
        </w:tc>
        <w:tc>
          <w:tcPr>
            <w:tcW w:type="dxa" w:w="1531"/>
          </w:tcPr>
          <w:p>
            <w:r>
              <w:rPr>
                <w:sz w:val="17"/>
              </w:rPr>
              <w:t>12% on real data</w:t>
            </w:r>
          </w:p>
        </w:tc>
        <w:tc>
          <w:tcPr>
            <w:tcW w:type="dxa" w:w="794"/>
          </w:tcPr>
          <w:p>
            <w:r>
              <w:rPr>
                <w:b/>
                <w:color w:val="9A3A12"/>
                <w:sz w:val="17"/>
              </w:rPr>
              <w:t>stand-in</w:t>
            </w:r>
          </w:p>
        </w:tc>
        <w:tc>
          <w:tcPr>
            <w:tcW w:type="dxa" w:w="2041"/>
          </w:tcPr>
          <w:p>
            <w:r>
              <w:rPr>
                <w:rFonts w:ascii="Consolas" w:hAnsi="Consolas"/>
                <w:color w:val="5A5A5A"/>
                <w:sz w:val="15"/>
              </w:rPr>
              <w:t>hedonic</w:t>
            </w:r>
          </w:p>
        </w:tc>
      </w:tr>
      <w:tr>
        <w:trPr>
          <w:cantSplit/>
        </w:trPr>
        <w:tc>
          <w:tcPr>
            <w:tcW w:type="dxa" w:w="1984"/>
          </w:tcPr>
          <w:p>
            <w:r>
              <w:rPr>
                <w:sz w:val="17"/>
              </w:rPr>
              <w:t>Hedonic — training and holdout size</w:t>
            </w:r>
          </w:p>
        </w:tc>
        <w:tc>
          <w:tcPr>
            <w:tcW w:type="dxa" w:w="2835"/>
          </w:tcPr>
          <w:p>
            <w:r>
              <w:rPr>
                <w:sz w:val="17"/>
              </w:rPr>
              <w:t>110,407 train / 9,939 holdout, split by time</w:t>
            </w:r>
          </w:p>
        </w:tc>
        <w:tc>
          <w:tcPr>
            <w:tcW w:type="dxa" w:w="1531"/>
          </w:tcPr>
          <w:p>
            <w:r>
              <w:rPr>
                <w:sz w:val="17"/>
              </w:rPr>
              <w:t>—</w:t>
            </w:r>
          </w:p>
        </w:tc>
        <w:tc>
          <w:tcPr>
            <w:tcW w:type="dxa" w:w="794"/>
          </w:tcPr>
          <w:p>
            <w:r>
              <w:rPr>
                <w:b/>
                <w:color w:val="9A3A12"/>
                <w:sz w:val="17"/>
              </w:rPr>
              <w:t>stand-in</w:t>
            </w:r>
          </w:p>
        </w:tc>
        <w:tc>
          <w:tcPr>
            <w:tcW w:type="dxa" w:w="2041"/>
          </w:tcPr>
          <w:p>
            <w:r>
              <w:rPr>
                <w:rFonts w:ascii="Consolas" w:hAnsi="Consolas"/>
                <w:color w:val="5A5A5A"/>
                <w:sz w:val="15"/>
              </w:rPr>
              <w:t>hedonic</w:t>
            </w:r>
          </w:p>
        </w:tc>
      </w:tr>
      <w:tr>
        <w:trPr>
          <w:cantSplit/>
        </w:trPr>
        <w:tc>
          <w:tcPr>
            <w:tcW w:type="dxa" w:w="1984"/>
          </w:tcPr>
          <w:p>
            <w:r>
              <w:rPr>
                <w:sz w:val="17"/>
              </w:rPr>
              <w:t>Repeat-sales index — matched pairs</w:t>
            </w:r>
          </w:p>
        </w:tc>
        <w:tc>
          <w:tcPr>
            <w:tcW w:type="dxa" w:w="2835"/>
          </w:tcPr>
          <w:p>
            <w:r>
              <w:rPr>
                <w:sz w:val="17"/>
              </w:rPr>
              <w:t>5,079 pairs over 144 months; 0 periods dropped as disconnected</w:t>
            </w:r>
          </w:p>
        </w:tc>
        <w:tc>
          <w:tcPr>
            <w:tcW w:type="dxa" w:w="1531"/>
          </w:tcPr>
          <w:p>
            <w:r>
              <w:rPr>
                <w:sz w:val="17"/>
              </w:rPr>
              <w:t>reproduces direction of travel</w:t>
            </w:r>
          </w:p>
        </w:tc>
        <w:tc>
          <w:tcPr>
            <w:tcW w:type="dxa" w:w="794"/>
          </w:tcPr>
          <w:p>
            <w:r>
              <w:rPr>
                <w:b/>
                <w:color w:val="9A3A12"/>
                <w:sz w:val="17"/>
              </w:rPr>
              <w:t>stand-in</w:t>
            </w:r>
          </w:p>
        </w:tc>
        <w:tc>
          <w:tcPr>
            <w:tcW w:type="dxa" w:w="2041"/>
          </w:tcPr>
          <w:p>
            <w:r>
              <w:rPr>
                <w:rFonts w:ascii="Consolas" w:hAnsi="Consolas"/>
                <w:color w:val="5A5A5A"/>
                <w:sz w:val="15"/>
              </w:rPr>
              <w:t>index</w:t>
            </w:r>
          </w:p>
        </w:tc>
      </w:tr>
      <w:tr>
        <w:trPr>
          <w:cantSplit/>
        </w:trPr>
        <w:tc>
          <w:tcPr>
            <w:tcW w:type="dxa" w:w="1984"/>
          </w:tcPr>
          <w:p>
            <w:r>
              <w:rPr>
                <w:sz w:val="17"/>
              </w:rPr>
              <w:t>Yield — median gross and net</w:t>
            </w:r>
          </w:p>
        </w:tc>
        <w:tc>
          <w:tcPr>
            <w:tcW w:type="dxa" w:w="2835"/>
          </w:tcPr>
          <w:p>
            <w:r>
              <w:rPr>
                <w:sz w:val="17"/>
              </w:rPr>
              <w:t>gross 7.12%, net 3.43%, spread 3.59%</w:t>
            </w:r>
          </w:p>
        </w:tc>
        <w:tc>
          <w:tcPr>
            <w:tcW w:type="dxa" w:w="1531"/>
          </w:tcPr>
          <w:p>
            <w:r>
              <w:rPr>
                <w:sz w:val="17"/>
              </w:rPr>
              <w:t>net below gross always</w:t>
            </w:r>
          </w:p>
        </w:tc>
        <w:tc>
          <w:tcPr>
            <w:tcW w:type="dxa" w:w="794"/>
          </w:tcPr>
          <w:p>
            <w:r>
              <w:rPr>
                <w:b/>
                <w:color w:val="9A3A12"/>
                <w:sz w:val="17"/>
              </w:rPr>
              <w:t>stand-in</w:t>
            </w:r>
          </w:p>
        </w:tc>
        <w:tc>
          <w:tcPr>
            <w:tcW w:type="dxa" w:w="2041"/>
          </w:tcPr>
          <w:p>
            <w:r>
              <w:rPr>
                <w:rFonts w:ascii="Consolas" w:hAnsi="Consolas"/>
                <w:color w:val="5A5A5A"/>
                <w:sz w:val="15"/>
              </w:rPr>
              <w:t>yield</w:t>
            </w:r>
          </w:p>
        </w:tc>
      </w:tr>
      <w:tr>
        <w:trPr>
          <w:cantSplit/>
        </w:trPr>
        <w:tc>
          <w:tcPr>
            <w:tcW w:type="dxa" w:w="1984"/>
          </w:tcPr>
          <w:p>
            <w:r>
              <w:rPr>
                <w:sz w:val="17"/>
              </w:rPr>
              <w:t>Yield — cells suppressed as too thin</w:t>
            </w:r>
          </w:p>
        </w:tc>
        <w:tc>
          <w:tcPr>
            <w:tcW w:type="dxa" w:w="2835"/>
          </w:tcPr>
          <w:p>
            <w:r>
              <w:rPr>
                <w:sz w:val="17"/>
              </w:rPr>
              <w:t>115 of 463 suppressed; 348 published</w:t>
            </w:r>
          </w:p>
        </w:tc>
        <w:tc>
          <w:tcPr>
            <w:tcW w:type="dxa" w:w="1531"/>
          </w:tcPr>
          <w:p>
            <w:r>
              <w:rPr>
                <w:sz w:val="17"/>
              </w:rPr>
              <w:t>small n never shown as a number</w:t>
            </w:r>
          </w:p>
        </w:tc>
        <w:tc>
          <w:tcPr>
            <w:tcW w:type="dxa" w:w="794"/>
          </w:tcPr>
          <w:p>
            <w:r>
              <w:rPr>
                <w:b/>
                <w:color w:val="9A3A12"/>
                <w:sz w:val="17"/>
              </w:rPr>
              <w:t>stand-in</w:t>
            </w:r>
          </w:p>
        </w:tc>
        <w:tc>
          <w:tcPr>
            <w:tcW w:type="dxa" w:w="2041"/>
          </w:tcPr>
          <w:p>
            <w:r>
              <w:rPr>
                <w:rFonts w:ascii="Consolas" w:hAnsi="Consolas"/>
                <w:color w:val="5A5A5A"/>
                <w:sz w:val="15"/>
              </w:rPr>
              <w:t>yield</w:t>
            </w:r>
          </w:p>
        </w:tc>
      </w:tr>
      <w:tr>
        <w:trPr>
          <w:cantSplit/>
        </w:trPr>
        <w:tc>
          <w:tcPr>
            <w:tcW w:type="dxa" w:w="1984"/>
          </w:tcPr>
          <w:p>
            <w:r>
              <w:rPr>
                <w:sz w:val="17"/>
              </w:rPr>
              <w:t>Forecast versus seasonal naive</w:t>
            </w:r>
          </w:p>
        </w:tc>
        <w:tc>
          <w:tcPr>
            <w:tcW w:type="dxa" w:w="2835"/>
          </w:tcPr>
          <w:p>
            <w:r>
              <w:rPr>
                <w:sz w:val="17"/>
              </w:rPr>
              <w:t>beats the benchmark on 77/86 areas (89.5%); 10.1% against 15.2% error</w:t>
            </w:r>
          </w:p>
        </w:tc>
        <w:tc>
          <w:tcPr>
            <w:tcW w:type="dxa" w:w="1531"/>
          </w:tcPr>
          <w:p>
            <w:r>
              <w:rPr>
                <w:sz w:val="17"/>
              </w:rPr>
              <w:t>60% of areas</w:t>
            </w:r>
          </w:p>
        </w:tc>
        <w:tc>
          <w:tcPr>
            <w:tcW w:type="dxa" w:w="794"/>
          </w:tcPr>
          <w:p>
            <w:r>
              <w:rPr>
                <w:b/>
                <w:color w:val="9A3A12"/>
                <w:sz w:val="17"/>
              </w:rPr>
              <w:t>stand-in</w:t>
            </w:r>
          </w:p>
        </w:tc>
        <w:tc>
          <w:tcPr>
            <w:tcW w:type="dxa" w:w="2041"/>
          </w:tcPr>
          <w:p>
            <w:r>
              <w:rPr>
                <w:rFonts w:ascii="Consolas" w:hAnsi="Consolas"/>
                <w:color w:val="5A5A5A"/>
                <w:sz w:val="15"/>
              </w:rPr>
              <w:t>forecast</w:t>
            </w:r>
          </w:p>
        </w:tc>
      </w:tr>
      <w:tr>
        <w:trPr>
          <w:cantSplit/>
        </w:trPr>
        <w:tc>
          <w:tcPr>
            <w:tcW w:type="dxa" w:w="1984"/>
          </w:tcPr>
          <w:p>
            <w:r>
              <w:rPr>
                <w:sz w:val="17"/>
              </w:rPr>
              <w:t>Risk and anomalies</w:t>
            </w:r>
          </w:p>
        </w:tc>
        <w:tc>
          <w:tcPr>
            <w:tcW w:type="dxa" w:w="2835"/>
          </w:tcPr>
          <w:p>
            <w:r>
              <w:rPr>
                <w:sz w:val="17"/>
              </w:rPr>
              <w:t>1,738 of 120,346 flagged (1.44%); 86 areas scored</w:t>
            </w:r>
          </w:p>
        </w:tc>
        <w:tc>
          <w:tcPr>
            <w:tcW w:type="dxa" w:w="1531"/>
          </w:tcPr>
          <w:p>
            <w:r>
              <w:rPr>
                <w:sz w:val="17"/>
              </w:rPr>
              <w:t>score in [0, 100], monotone</w:t>
            </w:r>
          </w:p>
        </w:tc>
        <w:tc>
          <w:tcPr>
            <w:tcW w:type="dxa" w:w="794"/>
          </w:tcPr>
          <w:p>
            <w:r>
              <w:rPr>
                <w:b/>
                <w:color w:val="9A3A12"/>
                <w:sz w:val="17"/>
              </w:rPr>
              <w:t>stand-in</w:t>
            </w:r>
          </w:p>
        </w:tc>
        <w:tc>
          <w:tcPr>
            <w:tcW w:type="dxa" w:w="2041"/>
          </w:tcPr>
          <w:p>
            <w:r>
              <w:rPr>
                <w:rFonts w:ascii="Consolas" w:hAnsi="Consolas"/>
                <w:color w:val="5A5A5A"/>
                <w:sz w:val="15"/>
              </w:rPr>
              <w:t>risk</w:t>
            </w:r>
          </w:p>
        </w:tc>
      </w:tr>
      <w:tr>
        <w:trPr>
          <w:cantSplit/>
        </w:trPr>
        <w:tc>
          <w:tcPr>
            <w:tcW w:type="dxa" w:w="1984"/>
          </w:tcPr>
          <w:p>
            <w:r>
              <w:rPr>
                <w:sz w:val="17"/>
              </w:rPr>
              <w:t>Portfolio — blended yield and independent positions</w:t>
            </w:r>
          </w:p>
        </w:tc>
        <w:tc>
          <w:tcPr>
            <w:tcW w:type="dxa" w:w="2835"/>
          </w:tcPr>
          <w:p>
            <w:r>
              <w:rPr>
                <w:sz w:val="17"/>
              </w:rPr>
              <w:t>gross 6.31%, net 2.97%; 3.54 effective holdings fall to 3.28 once correlation is taken out</w:t>
            </w:r>
          </w:p>
        </w:tc>
        <w:tc>
          <w:tcPr>
            <w:tcW w:type="dxa" w:w="1531"/>
          </w:tcPr>
          <w:p>
            <w:r>
              <w:rPr>
                <w:sz w:val="17"/>
              </w:rPr>
              <w:t>correlation never ignored</w:t>
            </w:r>
          </w:p>
        </w:tc>
        <w:tc>
          <w:tcPr>
            <w:tcW w:type="dxa" w:w="794"/>
          </w:tcPr>
          <w:p>
            <w:r>
              <w:rPr>
                <w:b/>
                <w:color w:val="9A3A12"/>
                <w:sz w:val="17"/>
              </w:rPr>
              <w:t>stand-in</w:t>
            </w:r>
          </w:p>
        </w:tc>
        <w:tc>
          <w:tcPr>
            <w:tcW w:type="dxa" w:w="2041"/>
          </w:tcPr>
          <w:p>
            <w:r>
              <w:rPr>
                <w:rFonts w:ascii="Consolas" w:hAnsi="Consolas"/>
                <w:color w:val="5A5A5A"/>
                <w:sz w:val="15"/>
              </w:rPr>
              <w:t>portfolio</w:t>
            </w:r>
          </w:p>
        </w:tc>
      </w:tr>
      <w:tr>
        <w:trPr>
          <w:cantSplit/>
        </w:trPr>
        <w:tc>
          <w:tcPr>
            <w:tcW w:type="dxa" w:w="1984"/>
          </w:tcPr>
          <w:p>
            <w:r>
              <w:rPr>
                <w:sz w:val="17"/>
              </w:rPr>
              <w:t>Mortgage and DCF</w:t>
            </w:r>
          </w:p>
        </w:tc>
        <w:tc>
          <w:tcPr>
            <w:tcW w:type="dxa" w:w="2835"/>
          </w:tcPr>
          <w:p>
            <w:r>
              <w:rPr>
                <w:sz w:val="17"/>
              </w:rPr>
              <w:t>5 scenarios from an anchor of AED 3,963,856 over 5 years</w:t>
            </w:r>
          </w:p>
        </w:tc>
        <w:tc>
          <w:tcPr>
            <w:tcW w:type="dxa" w:w="1531"/>
          </w:tcPr>
          <w:p>
            <w:r>
              <w:rPr>
                <w:sz w:val="17"/>
              </w:rPr>
              <w:t>IRR matches a hand-computed case</w:t>
            </w:r>
          </w:p>
        </w:tc>
        <w:tc>
          <w:tcPr>
            <w:tcW w:type="dxa" w:w="794"/>
          </w:tcPr>
          <w:p>
            <w:r>
              <w:rPr>
                <w:b/>
                <w:color w:val="9A3A12"/>
                <w:sz w:val="17"/>
              </w:rPr>
              <w:t>stand-in</w:t>
            </w:r>
          </w:p>
        </w:tc>
        <w:tc>
          <w:tcPr>
            <w:tcW w:type="dxa" w:w="2041"/>
          </w:tcPr>
          <w:p>
            <w:r>
              <w:rPr>
                <w:rFonts w:ascii="Consolas" w:hAnsi="Consolas"/>
                <w:color w:val="5A5A5A"/>
                <w:sz w:val="15"/>
              </w:rPr>
              <w:t>dcf</w:t>
            </w:r>
          </w:p>
        </w:tc>
      </w:tr>
      <w:tr>
        <w:trPr>
          <w:cantSplit/>
        </w:trPr>
        <w:tc>
          <w:tcPr>
            <w:tcW w:type="dxa" w:w="1984"/>
          </w:tcPr>
          <w:p>
            <w:r>
              <w:rPr>
                <w:sz w:val="17"/>
              </w:rPr>
              <w:t>Developer league table</w:t>
            </w:r>
          </w:p>
        </w:tc>
        <w:tc>
          <w:tcPr>
            <w:tcW w:type="dxa" w:w="2835"/>
          </w:tcPr>
          <w:p>
            <w:r>
              <w:rPr>
                <w:sz w:val="17"/>
              </w:rPr>
              <w:t>219 projects ranked on price premium against their own area and month</w:t>
            </w:r>
          </w:p>
        </w:tc>
        <w:tc>
          <w:tcPr>
            <w:tcW w:type="dxa" w:w="1531"/>
          </w:tcPr>
          <w:p>
            <w:r>
              <w:rPr>
                <w:sz w:val="17"/>
              </w:rPr>
              <w:t>location and timing held constant</w:t>
            </w:r>
          </w:p>
        </w:tc>
        <w:tc>
          <w:tcPr>
            <w:tcW w:type="dxa" w:w="794"/>
          </w:tcPr>
          <w:p>
            <w:r>
              <w:rPr>
                <w:b/>
                <w:color w:val="9A3A12"/>
                <w:sz w:val="17"/>
              </w:rPr>
              <w:t>stand-in</w:t>
            </w:r>
          </w:p>
        </w:tc>
        <w:tc>
          <w:tcPr>
            <w:tcW w:type="dxa" w:w="2041"/>
          </w:tcPr>
          <w:p>
            <w:r>
              <w:rPr>
                <w:rFonts w:ascii="Consolas" w:hAnsi="Consolas"/>
                <w:color w:val="5A5A5A"/>
                <w:sz w:val="15"/>
              </w:rPr>
              <w:t>developers</w:t>
            </w:r>
          </w:p>
        </w:tc>
      </w:tr>
    </w:tbl>
    <w:p/>
    <w:p>
      <w:pPr>
        <w:pStyle w:val="Heading2"/>
      </w:pPr>
      <w:r>
        <w:t>How the valuation model is built</w:t>
      </w:r>
    </w:p>
    <w:p>
      <w:pPr>
        <w:spacing w:after="120"/>
      </w:pPr>
      <w:r>
        <w:rPr>
          <w:b w:val="0"/>
          <w:i w:val="0"/>
          <w:color w:val="1A1A1A"/>
          <w:sz w:val="21"/>
        </w:rPr>
        <w:t>A hedonic regression on log price per square metre, back-transformed with Duan's smearing estimator so the mean is not understated. The holdout is the most recent twelve months, split by time rather than at random: a random split lets the model see the future of the same building, which flatters it. The baseline it is scored against is the area median for the same period, which is what a buyer would otherwise use.</w:t>
      </w:r>
    </w:p>
    <w:p>
      <w:pPr>
        <w:spacing w:after="120"/>
      </w:pPr>
      <w:r>
        <w:rPr>
          <w:b w:val="0"/>
          <w:i w:val="0"/>
          <w:color w:val="1A1A1A"/>
          <w:sz w:val="21"/>
        </w:rPr>
        <w:t>The comparison that matters is against the estimated noise floor rather than against zero. Two identical units in the same building sell weeks apart at different prices, and no model can explain that gap. Reporting error against the floor says how much of the explainable variation was captured, which is the honest version of the claim.</w:t>
      </w:r>
    </w:p>
    <w:p>
      <w:pPr>
        <w:pStyle w:val="Heading2"/>
      </w:pPr>
      <w:r>
        <w:t>Why the index uses repeat sales</w:t>
      </w:r>
    </w:p>
    <w:p>
      <w:pPr>
        <w:spacing w:after="120"/>
      </w:pPr>
      <w:r>
        <w:rPr>
          <w:b w:val="0"/>
          <w:i w:val="0"/>
          <w:color w:val="1A1A1A"/>
          <w:sz w:val="21"/>
        </w:rPr>
        <w:t>A median price series moves when the mix of what sold changes, not only when values do. The repeat-sales method compares each property against itself, using a Bailey-Muth-Nourse weighted least squares fit on period dummies. The registry has no stable unit identifier on older rows, so identity is reconstructed from building, bedroom count and floor area, and pairs are weighted by the inverse of the holding period because a long gap accumulates more idiosyncratic noise.</w:t>
      </w:r>
    </w:p>
    <w:p>
      <w:pPr>
        <w:pStyle w:val="Heading2"/>
      </w:pPr>
      <w:r>
        <w:t>Yield, and the number most services do not show</w:t>
      </w:r>
    </w:p>
    <w:p>
      <w:pPr>
        <w:spacing w:after="120"/>
      </w:pPr>
      <w:r>
        <w:rPr>
          <w:b w:val="0"/>
          <w:i w:val="0"/>
          <w:color w:val="1A1A1A"/>
          <w:sz w:val="21"/>
        </w:rPr>
        <w:t>Gross yield is rent over price. Net yield takes out vacancy, service charge, management and maintenance, and amortises the purchase costs — including the Land Department's 4% transfer fee — over the holding period. The spread between the two is the figure a buyer is usually not shown, and it is large. Every assumption is editable in the interface and every one carries its source.</w:t>
      </w:r>
    </w:p>
    <w:p>
      <w:pPr>
        <w:spacing w:after="120"/>
      </w:pPr>
      <w:r>
        <w:rPr>
          <w:b w:val="0"/>
          <w:i w:val="0"/>
          <w:color w:val="1A1A1A"/>
          <w:sz w:val="21"/>
        </w:rPr>
        <w:t>Cells with too few sales or contracts are suppressed rather than rendered. A yield computed from three transactions is not a yield, and showing it with a small-sample footnote is a way of showing it anyway.</w:t>
      </w:r>
    </w:p>
    <w:p>
      <w:pPr>
        <w:pStyle w:val="Heading1"/>
      </w:pPr>
      <w:r>
        <w:t>5. Retrieval and the agent crew</w:t>
      </w:r>
    </w:p>
    <w:p>
      <w:pPr>
        <w:spacing w:after="120"/>
      </w:pPr>
      <w:r>
        <w:rPr>
          <w:b w:val="0"/>
          <w:i w:val="0"/>
          <w:color w:val="1A1A1A"/>
          <w:sz w:val="21"/>
        </w:rPr>
        <w:t>Ask answers a question from a corpus of registry facts and archived policy documents. Retrieval fuses a lexical BM25 score with a semantic one through reciprocal rank fusion, and the fused list is reranked. The evaluation runs 38 cases in English, Hindi and Arabic — 30 the corpus can answer and 8 it cannot.</w:t>
      </w:r>
    </w:p>
    <w:tbl>
      <w:tblPr>
        <w:tblStyle w:val="TableGrid"/>
        <w:tblW w:type="auto" w:w="0"/>
        <w:jc w:val="center"/>
        <w:tblLayout w:type="fixed"/>
        <w:tblLook w:firstColumn="1" w:firstRow="1" w:lastColumn="0" w:lastRow="0" w:noHBand="0" w:noVBand="1" w:val="04A0"/>
      </w:tblPr>
      <w:tblGrid>
        <w:gridCol w:w="1904"/>
        <w:gridCol w:w="1904"/>
        <w:gridCol w:w="1904"/>
        <w:gridCol w:w="1904"/>
        <w:gridCol w:w="1904"/>
      </w:tblGrid>
      <w:tr>
        <w:trPr>
          <w:tblHeader w:val="true"/>
          <w:cantSplit/>
        </w:trPr>
        <w:tc>
          <w:tcPr>
            <w:tcW w:type="dxa" w:w="1984"/>
            <w:shd w:val="clear" w:fill="EDF4F2"/>
          </w:tcPr>
          <w:p>
            <w:r>
              <w:rPr>
                <w:rFonts w:ascii="Cambria" w:hAnsi="Cambria"/>
                <w:b/>
                <w:color w:val="1F7A70"/>
                <w:sz w:val="18"/>
              </w:rPr>
              <w:t>Measure</w:t>
            </w:r>
          </w:p>
        </w:tc>
        <w:tc>
          <w:tcPr>
            <w:tcW w:type="dxa" w:w="2835"/>
            <w:shd w:val="clear" w:fill="EDF4F2"/>
          </w:tcPr>
          <w:p>
            <w:r>
              <w:rPr>
                <w:rFonts w:ascii="Cambria" w:hAnsi="Cambria"/>
                <w:b/>
                <w:color w:val="1F7A70"/>
                <w:sz w:val="18"/>
              </w:rPr>
              <w:t>Result</w:t>
            </w:r>
          </w:p>
        </w:tc>
        <w:tc>
          <w:tcPr>
            <w:tcW w:type="dxa" w:w="1531"/>
            <w:shd w:val="clear" w:fill="EDF4F2"/>
          </w:tcPr>
          <w:p>
            <w:r>
              <w:rPr>
                <w:rFonts w:ascii="Cambria" w:hAnsi="Cambria"/>
                <w:b/>
                <w:color w:val="1F7A70"/>
                <w:sz w:val="18"/>
              </w:rPr>
              <w:t>Target</w:t>
            </w:r>
          </w:p>
        </w:tc>
        <w:tc>
          <w:tcPr>
            <w:tcW w:type="dxa" w:w="794"/>
            <w:shd w:val="clear" w:fill="EDF4F2"/>
          </w:tcPr>
          <w:p>
            <w:r>
              <w:rPr>
                <w:rFonts w:ascii="Cambria" w:hAnsi="Cambria"/>
                <w:b/>
                <w:color w:val="1F7A70"/>
                <w:sz w:val="18"/>
              </w:rPr>
              <w:t>Data</w:t>
            </w:r>
          </w:p>
        </w:tc>
        <w:tc>
          <w:tcPr>
            <w:tcW w:type="dxa" w:w="2041"/>
            <w:shd w:val="clear" w:fill="EDF4F2"/>
          </w:tcPr>
          <w:p>
            <w:r>
              <w:rPr>
                <w:rFonts w:ascii="Cambria" w:hAnsi="Cambria"/>
                <w:b/>
                <w:color w:val="1F7A70"/>
                <w:sz w:val="18"/>
              </w:rPr>
              <w:t>In docs/results/</w:t>
            </w:r>
          </w:p>
        </w:tc>
      </w:tr>
      <w:tr>
        <w:trPr>
          <w:cantSplit/>
        </w:trPr>
        <w:tc>
          <w:tcPr>
            <w:tcW w:type="dxa" w:w="1984"/>
          </w:tcPr>
          <w:p>
            <w:r>
              <w:rPr>
                <w:sz w:val="17"/>
              </w:rPr>
              <w:t>Retrieval — recall@5 / recall@1 / MRR</w:t>
            </w:r>
          </w:p>
        </w:tc>
        <w:tc>
          <w:tcPr>
            <w:tcW w:type="dxa" w:w="2835"/>
          </w:tcPr>
          <w:p>
            <w:r>
              <w:rPr>
                <w:sz w:val="17"/>
              </w:rPr>
              <w:t>1.00 / 0.87 / 0.91 over 30 answerable cases in three languages</w:t>
            </w:r>
          </w:p>
        </w:tc>
        <w:tc>
          <w:tcPr>
            <w:tcW w:type="dxa" w:w="1531"/>
          </w:tcPr>
          <w:p>
            <w:r>
              <w:rPr>
                <w:sz w:val="17"/>
              </w:rPr>
              <w:t>gated at 0.8 / 0.7</w:t>
            </w:r>
          </w:p>
        </w:tc>
        <w:tc>
          <w:tcPr>
            <w:tcW w:type="dxa" w:w="794"/>
          </w:tcPr>
          <w:p>
            <w:r>
              <w:rPr>
                <w:b/>
                <w:color w:val="9A3A12"/>
                <w:sz w:val="17"/>
              </w:rPr>
              <w:t>stand-in</w:t>
            </w:r>
          </w:p>
        </w:tc>
        <w:tc>
          <w:tcPr>
            <w:tcW w:type="dxa" w:w="2041"/>
          </w:tcPr>
          <w:p>
            <w:r>
              <w:rPr>
                <w:rFonts w:ascii="Consolas" w:hAnsi="Consolas"/>
                <w:color w:val="5A5A5A"/>
                <w:sz w:val="15"/>
              </w:rPr>
              <w:t>rag_eval</w:t>
            </w:r>
          </w:p>
        </w:tc>
      </w:tr>
      <w:tr>
        <w:trPr>
          <w:cantSplit/>
        </w:trPr>
        <w:tc>
          <w:tcPr>
            <w:tcW w:type="dxa" w:w="1984"/>
          </w:tcPr>
          <w:p>
            <w:r>
              <w:rPr>
                <w:sz w:val="17"/>
              </w:rPr>
              <w:t>Faithfulness — every sentence traceable to a retrieved source</w:t>
            </w:r>
          </w:p>
        </w:tc>
        <w:tc>
          <w:tcPr>
            <w:tcW w:type="dxa" w:w="2835"/>
          </w:tcPr>
          <w:p>
            <w:r>
              <w:rPr>
                <w:sz w:val="17"/>
              </w:rPr>
              <w:t>1.00</w:t>
            </w:r>
          </w:p>
        </w:tc>
        <w:tc>
          <w:tcPr>
            <w:tcW w:type="dxa" w:w="1531"/>
          </w:tcPr>
          <w:p>
            <w:r>
              <w:rPr>
                <w:sz w:val="17"/>
              </w:rPr>
              <w:t>gated at 0.9</w:t>
            </w:r>
          </w:p>
        </w:tc>
        <w:tc>
          <w:tcPr>
            <w:tcW w:type="dxa" w:w="794"/>
          </w:tcPr>
          <w:p>
            <w:r>
              <w:rPr>
                <w:b/>
                <w:color w:val="9A3A12"/>
                <w:sz w:val="17"/>
              </w:rPr>
              <w:t>stand-in</w:t>
            </w:r>
          </w:p>
        </w:tc>
        <w:tc>
          <w:tcPr>
            <w:tcW w:type="dxa" w:w="2041"/>
          </w:tcPr>
          <w:p>
            <w:r>
              <w:rPr>
                <w:rFonts w:ascii="Consolas" w:hAnsi="Consolas"/>
                <w:color w:val="5A5A5A"/>
                <w:sz w:val="15"/>
              </w:rPr>
              <w:t>rag_eval</w:t>
            </w:r>
          </w:p>
        </w:tc>
      </w:tr>
      <w:tr>
        <w:trPr>
          <w:cantSplit/>
        </w:trPr>
        <w:tc>
          <w:tcPr>
            <w:tcW w:type="dxa" w:w="1984"/>
          </w:tcPr>
          <w:p>
            <w:r>
              <w:rPr>
                <w:sz w:val="17"/>
              </w:rPr>
              <w:t>Corpus size</w:t>
            </w:r>
          </w:p>
        </w:tc>
        <w:tc>
          <w:tcPr>
            <w:tcW w:type="dxa" w:w="2835"/>
          </w:tcPr>
          <w:p>
            <w:r>
              <w:rPr>
                <w:sz w:val="17"/>
              </w:rPr>
              <w:t>117 chunks from 5 documents and 86 area facts</w:t>
            </w:r>
          </w:p>
        </w:tc>
        <w:tc>
          <w:tcPr>
            <w:tcW w:type="dxa" w:w="1531"/>
          </w:tcPr>
          <w:p>
            <w:r>
              <w:rPr>
                <w:sz w:val="17"/>
              </w:rPr>
              <w:t>small enough that recall@5 is easy</w:t>
            </w:r>
          </w:p>
        </w:tc>
        <w:tc>
          <w:tcPr>
            <w:tcW w:type="dxa" w:w="794"/>
          </w:tcPr>
          <w:p>
            <w:r>
              <w:rPr>
                <w:b/>
                <w:color w:val="9A3A12"/>
                <w:sz w:val="17"/>
              </w:rPr>
              <w:t>stand-in</w:t>
            </w:r>
          </w:p>
        </w:tc>
        <w:tc>
          <w:tcPr>
            <w:tcW w:type="dxa" w:w="2041"/>
          </w:tcPr>
          <w:p>
            <w:r>
              <w:rPr>
                <w:rFonts w:ascii="Consolas" w:hAnsi="Consolas"/>
                <w:color w:val="5A5A5A"/>
                <w:sz w:val="15"/>
              </w:rPr>
              <w:t>rag_eval</w:t>
            </w:r>
          </w:p>
        </w:tc>
      </w:tr>
      <w:tr>
        <w:trPr>
          <w:cantSplit/>
        </w:trPr>
        <w:tc>
          <w:tcPr>
            <w:tcW w:type="dxa" w:w="1984"/>
          </w:tcPr>
          <w:p>
            <w:r>
              <w:rPr>
                <w:sz w:val="17"/>
              </w:rPr>
              <w:t>Out-of-scope questions answered rather than declined</w:t>
            </w:r>
          </w:p>
        </w:tc>
        <w:tc>
          <w:tcPr>
            <w:tcW w:type="dxa" w:w="2835"/>
          </w:tcPr>
          <w:p>
            <w:r>
              <w:rPr>
                <w:sz w:val="17"/>
              </w:rPr>
              <w:t>8 of 8</w:t>
            </w:r>
          </w:p>
        </w:tc>
        <w:tc>
          <w:tcPr>
            <w:tcW w:type="dxa" w:w="1531"/>
          </w:tcPr>
          <w:p>
            <w:r>
              <w:rPr>
                <w:sz w:val="17"/>
              </w:rPr>
              <w:t>not gated — see limitations</w:t>
            </w:r>
          </w:p>
        </w:tc>
        <w:tc>
          <w:tcPr>
            <w:tcW w:type="dxa" w:w="794"/>
          </w:tcPr>
          <w:p>
            <w:r>
              <w:rPr>
                <w:b/>
                <w:color w:val="9A3A12"/>
                <w:sz w:val="17"/>
              </w:rPr>
              <w:t>stand-in</w:t>
            </w:r>
          </w:p>
        </w:tc>
        <w:tc>
          <w:tcPr>
            <w:tcW w:type="dxa" w:w="2041"/>
          </w:tcPr>
          <w:p>
            <w:r>
              <w:rPr>
                <w:rFonts w:ascii="Consolas" w:hAnsi="Consolas"/>
                <w:color w:val="5A5A5A"/>
                <w:sz w:val="15"/>
              </w:rPr>
              <w:t>rag_eval</w:t>
            </w:r>
          </w:p>
        </w:tc>
      </w:tr>
      <w:tr>
        <w:trPr>
          <w:cantSplit/>
        </w:trPr>
        <w:tc>
          <w:tcPr>
            <w:tcW w:type="dxa" w:w="1984"/>
          </w:tcPr>
          <w:p>
            <w:r>
              <w:rPr>
                <w:sz w:val="17"/>
              </w:rPr>
              <w:t>Retrieval backend actually scored</w:t>
            </w:r>
          </w:p>
        </w:tc>
        <w:tc>
          <w:tcPr>
            <w:tcW w:type="dxa" w:w="2835"/>
          </w:tcPr>
          <w:p>
            <w:r>
              <w:rPr>
                <w:sz w:val="17"/>
              </w:rPr>
              <w:t>tfidf-svd (degraded: no embedding provider reachable)</w:t>
            </w:r>
          </w:p>
        </w:tc>
        <w:tc>
          <w:tcPr>
            <w:tcW w:type="dxa" w:w="1531"/>
          </w:tcPr>
          <w:p>
            <w:r>
              <w:rPr>
                <w:sz w:val="17"/>
              </w:rPr>
              <w:t>hybrid BM25 + embeddings</w:t>
            </w:r>
          </w:p>
        </w:tc>
        <w:tc>
          <w:tcPr>
            <w:tcW w:type="dxa" w:w="794"/>
          </w:tcPr>
          <w:p>
            <w:r>
              <w:rPr>
                <w:b/>
                <w:color w:val="9A3A12"/>
                <w:sz w:val="17"/>
              </w:rPr>
              <w:t>stand-in</w:t>
            </w:r>
          </w:p>
        </w:tc>
        <w:tc>
          <w:tcPr>
            <w:tcW w:type="dxa" w:w="2041"/>
          </w:tcPr>
          <w:p>
            <w:r>
              <w:rPr>
                <w:rFonts w:ascii="Consolas" w:hAnsi="Consolas"/>
                <w:color w:val="5A5A5A"/>
                <w:sz w:val="15"/>
              </w:rPr>
              <w:t>rag_eval</w:t>
            </w:r>
          </w:p>
        </w:tc>
      </w:tr>
    </w:tbl>
    <w:p/>
    <w:p>
      <w:pPr>
        <w:pStyle w:val="Heading2"/>
      </w:pPr>
      <w:r>
        <w:t>The citation guarantee is enforced, not requested</w:t>
      </w:r>
    </w:p>
    <w:p>
      <w:pPr>
        <w:spacing w:after="120"/>
      </w:pPr>
      <w:r>
        <w:rPr>
          <w:b w:val="0"/>
          <w:i w:val="0"/>
          <w:color w:val="1A1A1A"/>
          <w:sz w:val="21"/>
        </w:rPr>
        <w:t>The prompt asks for a citation on every factual sentence, and a prompt is a request a model may or may not honour. After generation, every sentence that states a fact and carries no citation is removed, and every citation pointing at a source that was not retrieved is stripped. What reaches the reader has been filtered rather than trusted. The faithfulness figure measures the output of that filter.</w:t>
      </w:r>
    </w:p>
    <w:p>
      <w:pPr>
        <w:pStyle w:val="Heading2"/>
      </w:pPr>
      <w:r>
        <w:t>Untrusted text is held, not merely wrapped</w:t>
      </w:r>
    </w:p>
    <w:p>
      <w:pPr>
        <w:spacing w:after="120"/>
      </w:pPr>
      <w:r>
        <w:rPr>
          <w:b w:val="0"/>
          <w:i w:val="0"/>
          <w:color w:val="1A1A1A"/>
          <w:sz w:val="21"/>
        </w:rPr>
        <w:t>Retrieved documents and stored memories are quoted to the model inside delimiters and declared to be data. That guarantee was found to be incomplete during the final review: the body was interpolated between the delimiters as it arrived, so a document containing the closing delimiter ended the quarantine early and everything after it read as instruction. It is now built by a single function that neutralises any delimiter in the body and refuses to return a block that is not well formed. The attack is in the red-team suite, and it fails against the current code and succeeds against the previous one.</w:t>
      </w:r>
    </w:p>
    <w:p>
      <w:pPr>
        <w:pStyle w:val="Heading2"/>
      </w:pPr>
      <w:r>
        <w:t>Budgets, and what an agent cannot do</w:t>
      </w:r>
    </w:p>
    <w:p>
      <w:pPr>
        <w:spacing w:after="120"/>
      </w:pPr>
      <w:r>
        <w:rPr>
          <w:b w:val="0"/>
          <w:i w:val="0"/>
          <w:color w:val="1A1A1A"/>
          <w:sz w:val="21"/>
        </w:rPr>
        <w:t>The crew runs under one runtime with a request budget, a wall-clock budget and a step budget — three axes because they fail differently: a loop burns steps without time, and a slow provider burns time without steps. Exceeding any of them ends the run as a recorded outcome carried into the memo, not as a crash. The Advisor has no tools with side effects. There is no endpoint in the service that buys, sells, lists or finances anything, which makes the boundary architectural rather than a matter of policy.</w:t>
      </w:r>
    </w:p>
    <w:p>
      <w:pPr>
        <w:pStyle w:val="Heading1"/>
      </w:pPr>
      <w:r>
        <w:t>6. Governance, security and engineering</w:t>
      </w:r>
    </w:p>
    <w:p>
      <w:pPr>
        <w:spacing w:after="120"/>
      </w:pPr>
      <w:r>
        <w:rPr>
          <w:b w:val="0"/>
          <w:i w:val="0"/>
          <w:color w:val="1A1A1A"/>
          <w:sz w:val="21"/>
        </w:rPr>
        <w:t>The threat model is the OWASP Agentic Security Initiative list. Each entry names the surface it applies to in this system, the control that answers it, and an executable attack. The attacks run in CI, so a control that stops holding fails a build rather than being discovered later.</w:t>
      </w:r>
    </w:p>
    <w:tbl>
      <w:tblPr>
        <w:tblStyle w:val="TableGrid"/>
        <w:tblW w:type="auto" w:w="0"/>
        <w:jc w:val="center"/>
        <w:tblLayout w:type="fixed"/>
        <w:tblLook w:firstColumn="1" w:firstRow="1" w:lastColumn="0" w:lastRow="0" w:noHBand="0" w:noVBand="1" w:val="04A0"/>
      </w:tblPr>
      <w:tblGrid>
        <w:gridCol w:w="1904"/>
        <w:gridCol w:w="1904"/>
        <w:gridCol w:w="1904"/>
        <w:gridCol w:w="1904"/>
        <w:gridCol w:w="1904"/>
      </w:tblGrid>
      <w:tr>
        <w:trPr>
          <w:tblHeader w:val="true"/>
          <w:cantSplit/>
        </w:trPr>
        <w:tc>
          <w:tcPr>
            <w:tcW w:type="dxa" w:w="1984"/>
            <w:shd w:val="clear" w:fill="EDF4F2"/>
          </w:tcPr>
          <w:p>
            <w:r>
              <w:rPr>
                <w:rFonts w:ascii="Cambria" w:hAnsi="Cambria"/>
                <w:b/>
                <w:color w:val="1F7A70"/>
                <w:sz w:val="18"/>
              </w:rPr>
              <w:t>Measure</w:t>
            </w:r>
          </w:p>
        </w:tc>
        <w:tc>
          <w:tcPr>
            <w:tcW w:type="dxa" w:w="2835"/>
            <w:shd w:val="clear" w:fill="EDF4F2"/>
          </w:tcPr>
          <w:p>
            <w:r>
              <w:rPr>
                <w:rFonts w:ascii="Cambria" w:hAnsi="Cambria"/>
                <w:b/>
                <w:color w:val="1F7A70"/>
                <w:sz w:val="18"/>
              </w:rPr>
              <w:t>Result</w:t>
            </w:r>
          </w:p>
        </w:tc>
        <w:tc>
          <w:tcPr>
            <w:tcW w:type="dxa" w:w="1531"/>
            <w:shd w:val="clear" w:fill="EDF4F2"/>
          </w:tcPr>
          <w:p>
            <w:r>
              <w:rPr>
                <w:rFonts w:ascii="Cambria" w:hAnsi="Cambria"/>
                <w:b/>
                <w:color w:val="1F7A70"/>
                <w:sz w:val="18"/>
              </w:rPr>
              <w:t>Target</w:t>
            </w:r>
          </w:p>
        </w:tc>
        <w:tc>
          <w:tcPr>
            <w:tcW w:type="dxa" w:w="794"/>
            <w:shd w:val="clear" w:fill="EDF4F2"/>
          </w:tcPr>
          <w:p>
            <w:r>
              <w:rPr>
                <w:rFonts w:ascii="Cambria" w:hAnsi="Cambria"/>
                <w:b/>
                <w:color w:val="1F7A70"/>
                <w:sz w:val="18"/>
              </w:rPr>
              <w:t>Data</w:t>
            </w:r>
          </w:p>
        </w:tc>
        <w:tc>
          <w:tcPr>
            <w:tcW w:type="dxa" w:w="2041"/>
            <w:shd w:val="clear" w:fill="EDF4F2"/>
          </w:tcPr>
          <w:p>
            <w:r>
              <w:rPr>
                <w:rFonts w:ascii="Cambria" w:hAnsi="Cambria"/>
                <w:b/>
                <w:color w:val="1F7A70"/>
                <w:sz w:val="18"/>
              </w:rPr>
              <w:t>In docs/results/</w:t>
            </w:r>
          </w:p>
        </w:tc>
      </w:tr>
      <w:tr>
        <w:trPr>
          <w:cantSplit/>
        </w:trPr>
        <w:tc>
          <w:tcPr>
            <w:tcW w:type="dxa" w:w="1984"/>
          </w:tcPr>
          <w:p>
            <w:r>
              <w:rPr>
                <w:sz w:val="17"/>
              </w:rPr>
              <w:t>Red team — OWASP Agentic Security Initiative</w:t>
            </w:r>
          </w:p>
        </w:tc>
        <w:tc>
          <w:tcPr>
            <w:tcW w:type="dxa" w:w="2835"/>
          </w:tcPr>
          <w:p>
            <w:r>
              <w:rPr>
                <w:sz w:val="17"/>
              </w:rPr>
              <w:t>11/11 controls held across 13 registered threats</w:t>
            </w:r>
          </w:p>
        </w:tc>
        <w:tc>
          <w:tcPr>
            <w:tcW w:type="dxa" w:w="1531"/>
          </w:tcPr>
          <w:p>
            <w:r>
              <w:rPr>
                <w:sz w:val="17"/>
              </w:rPr>
              <w:t>every attack fails to land</w:t>
            </w:r>
          </w:p>
        </w:tc>
        <w:tc>
          <w:tcPr>
            <w:tcW w:type="dxa" w:w="794"/>
          </w:tcPr>
          <w:p>
            <w:r>
              <w:rPr>
                <w:sz w:val="17"/>
              </w:rPr>
              <w:t>real</w:t>
            </w:r>
          </w:p>
        </w:tc>
        <w:tc>
          <w:tcPr>
            <w:tcW w:type="dxa" w:w="2041"/>
          </w:tcPr>
          <w:p>
            <w:r>
              <w:rPr>
                <w:rFonts w:ascii="Consolas" w:hAnsi="Consolas"/>
                <w:color w:val="5A5A5A"/>
                <w:sz w:val="15"/>
              </w:rPr>
              <w:t>redteam</w:t>
            </w:r>
          </w:p>
        </w:tc>
      </w:tr>
      <w:tr>
        <w:trPr>
          <w:cantSplit/>
        </w:trPr>
        <w:tc>
          <w:tcPr>
            <w:tcW w:type="dxa" w:w="1984"/>
          </w:tcPr>
          <w:p>
            <w:r>
              <w:rPr>
                <w:sz w:val="17"/>
              </w:rPr>
              <w:t>Structural refusal threshold</w:t>
            </w:r>
          </w:p>
        </w:tc>
        <w:tc>
          <w:tcPr>
            <w:tcW w:type="dxa" w:w="2835"/>
          </w:tcPr>
          <w:p>
            <w:r>
              <w:rPr>
                <w:sz w:val="17"/>
              </w:rPr>
              <w:t>measured and rejected: no signal separates out-of-scope from in-scope on this corpus, so refusal is enforced at the answering stage instead</w:t>
            </w:r>
          </w:p>
        </w:tc>
        <w:tc>
          <w:tcPr>
            <w:tcW w:type="dxa" w:w="1531"/>
          </w:tcPr>
          <w:p>
            <w:r>
              <w:rPr>
                <w:sz w:val="17"/>
              </w:rPr>
              <w:t>a threshold, if one exists</w:t>
            </w:r>
          </w:p>
        </w:tc>
        <w:tc>
          <w:tcPr>
            <w:tcW w:type="dxa" w:w="794"/>
          </w:tcPr>
          <w:p>
            <w:r>
              <w:rPr>
                <w:sz w:val="17"/>
              </w:rPr>
              <w:t>real</w:t>
            </w:r>
          </w:p>
        </w:tc>
        <w:tc>
          <w:tcPr>
            <w:tcW w:type="dxa" w:w="2041"/>
          </w:tcPr>
          <w:p>
            <w:r>
              <w:rPr>
                <w:rFonts w:ascii="Consolas" w:hAnsi="Consolas"/>
                <w:color w:val="5A5A5A"/>
                <w:sz w:val="15"/>
              </w:rPr>
              <w:t>relevance_floor</w:t>
            </w:r>
          </w:p>
        </w:tc>
      </w:tr>
      <w:tr>
        <w:trPr>
          <w:cantSplit/>
        </w:trPr>
        <w:tc>
          <w:tcPr>
            <w:tcW w:type="dxa" w:w="1984"/>
          </w:tcPr>
          <w:p>
            <w:r>
              <w:rPr>
                <w:sz w:val="17"/>
              </w:rPr>
              <w:t>Cited pages archived with a hash</w:t>
            </w:r>
          </w:p>
        </w:tc>
        <w:tc>
          <w:tcPr>
            <w:tcW w:type="dxa" w:w="2835"/>
          </w:tcPr>
          <w:p>
            <w:r>
              <w:rPr>
                <w:sz w:val="17"/>
              </w:rPr>
              <w:t>4 of 5 fetched and stored with a SHA-256</w:t>
            </w:r>
          </w:p>
        </w:tc>
        <w:tc>
          <w:tcPr>
            <w:tcW w:type="dxa" w:w="1531"/>
          </w:tcPr>
          <w:p>
            <w:r>
              <w:rPr>
                <w:sz w:val="17"/>
              </w:rPr>
              <w:t>a citation points at a fixed thing</w:t>
            </w:r>
          </w:p>
        </w:tc>
        <w:tc>
          <w:tcPr>
            <w:tcW w:type="dxa" w:w="794"/>
          </w:tcPr>
          <w:p>
            <w:r>
              <w:rPr>
                <w:sz w:val="17"/>
              </w:rPr>
              <w:t>real</w:t>
            </w:r>
          </w:p>
        </w:tc>
        <w:tc>
          <w:tcPr>
            <w:tcW w:type="dxa" w:w="2041"/>
          </w:tcPr>
          <w:p>
            <w:r>
              <w:rPr>
                <w:rFonts w:ascii="Consolas" w:hAnsi="Consolas"/>
                <w:color w:val="5A5A5A"/>
                <w:sz w:val="15"/>
              </w:rPr>
              <w:t>source_archive</w:t>
            </w:r>
          </w:p>
        </w:tc>
      </w:tr>
    </w:tbl>
    <w:p/>
    <w:p>
      <w:pPr>
        <w:pStyle w:val="Heading2"/>
      </w:pPr>
      <w:r>
        <w:t>Engineering measurements</w:t>
      </w:r>
    </w:p>
    <w:tbl>
      <w:tblPr>
        <w:tblStyle w:val="TableGrid"/>
        <w:tblW w:type="auto" w:w="0"/>
        <w:jc w:val="center"/>
        <w:tblLayout w:type="fixed"/>
        <w:tblLook w:firstColumn="1" w:firstRow="1" w:lastColumn="0" w:lastRow="0" w:noHBand="0" w:noVBand="1" w:val="04A0"/>
      </w:tblPr>
      <w:tblGrid>
        <w:gridCol w:w="1904"/>
        <w:gridCol w:w="1904"/>
        <w:gridCol w:w="1904"/>
        <w:gridCol w:w="1904"/>
        <w:gridCol w:w="1904"/>
      </w:tblGrid>
      <w:tr>
        <w:trPr>
          <w:tblHeader w:val="true"/>
          <w:cantSplit/>
        </w:trPr>
        <w:tc>
          <w:tcPr>
            <w:tcW w:type="dxa" w:w="1984"/>
            <w:shd w:val="clear" w:fill="EDF4F2"/>
          </w:tcPr>
          <w:p>
            <w:r>
              <w:rPr>
                <w:rFonts w:ascii="Cambria" w:hAnsi="Cambria"/>
                <w:b/>
                <w:color w:val="1F7A70"/>
                <w:sz w:val="18"/>
              </w:rPr>
              <w:t>Measure</w:t>
            </w:r>
          </w:p>
        </w:tc>
        <w:tc>
          <w:tcPr>
            <w:tcW w:type="dxa" w:w="2835"/>
            <w:shd w:val="clear" w:fill="EDF4F2"/>
          </w:tcPr>
          <w:p>
            <w:r>
              <w:rPr>
                <w:rFonts w:ascii="Cambria" w:hAnsi="Cambria"/>
                <w:b/>
                <w:color w:val="1F7A70"/>
                <w:sz w:val="18"/>
              </w:rPr>
              <w:t>Result</w:t>
            </w:r>
          </w:p>
        </w:tc>
        <w:tc>
          <w:tcPr>
            <w:tcW w:type="dxa" w:w="1531"/>
            <w:shd w:val="clear" w:fill="EDF4F2"/>
          </w:tcPr>
          <w:p>
            <w:r>
              <w:rPr>
                <w:rFonts w:ascii="Cambria" w:hAnsi="Cambria"/>
                <w:b/>
                <w:color w:val="1F7A70"/>
                <w:sz w:val="18"/>
              </w:rPr>
              <w:t>Target</w:t>
            </w:r>
          </w:p>
        </w:tc>
        <w:tc>
          <w:tcPr>
            <w:tcW w:type="dxa" w:w="794"/>
            <w:shd w:val="clear" w:fill="EDF4F2"/>
          </w:tcPr>
          <w:p>
            <w:r>
              <w:rPr>
                <w:rFonts w:ascii="Cambria" w:hAnsi="Cambria"/>
                <w:b/>
                <w:color w:val="1F7A70"/>
                <w:sz w:val="18"/>
              </w:rPr>
              <w:t>Data</w:t>
            </w:r>
          </w:p>
        </w:tc>
        <w:tc>
          <w:tcPr>
            <w:tcW w:type="dxa" w:w="2041"/>
            <w:shd w:val="clear" w:fill="EDF4F2"/>
          </w:tcPr>
          <w:p>
            <w:r>
              <w:rPr>
                <w:rFonts w:ascii="Cambria" w:hAnsi="Cambria"/>
                <w:b/>
                <w:color w:val="1F7A70"/>
                <w:sz w:val="18"/>
              </w:rPr>
              <w:t>In docs/results/</w:t>
            </w:r>
          </w:p>
        </w:tc>
      </w:tr>
      <w:tr>
        <w:trPr>
          <w:cantSplit/>
        </w:trPr>
        <w:tc>
          <w:tcPr>
            <w:tcW w:type="dxa" w:w="1984"/>
          </w:tcPr>
          <w:p>
            <w:r>
              <w:rPr>
                <w:sz w:val="17"/>
              </w:rPr>
              <w:t>Python line coverage</w:t>
            </w:r>
          </w:p>
        </w:tc>
        <w:tc>
          <w:tcPr>
            <w:tcW w:type="dxa" w:w="2835"/>
          </w:tcPr>
          <w:p>
            <w:r>
              <w:rPr>
                <w:sz w:val="17"/>
              </w:rPr>
              <w:t>83.88% of 6,676 statements; 10 rule-enforcing modules held to 85%</w:t>
            </w:r>
          </w:p>
        </w:tc>
        <w:tc>
          <w:tcPr>
            <w:tcW w:type="dxa" w:w="1531"/>
          </w:tcPr>
          <w:p>
            <w:r>
              <w:rPr>
                <w:sz w:val="17"/>
              </w:rPr>
              <w:t>75% overall</w:t>
            </w:r>
          </w:p>
        </w:tc>
        <w:tc>
          <w:tcPr>
            <w:tcW w:type="dxa" w:w="794"/>
          </w:tcPr>
          <w:p>
            <w:r>
              <w:rPr>
                <w:sz w:val="17"/>
              </w:rPr>
              <w:t>real</w:t>
            </w:r>
          </w:p>
        </w:tc>
        <w:tc>
          <w:tcPr>
            <w:tcW w:type="dxa" w:w="2041"/>
          </w:tcPr>
          <w:p>
            <w:r>
              <w:rPr>
                <w:rFonts w:ascii="Consolas" w:hAnsi="Consolas"/>
                <w:color w:val="5A5A5A"/>
                <w:sz w:val="15"/>
              </w:rPr>
              <w:t>coverage</w:t>
            </w:r>
          </w:p>
        </w:tc>
      </w:tr>
      <w:tr>
        <w:trPr>
          <w:cantSplit/>
        </w:trPr>
        <w:tc>
          <w:tcPr>
            <w:tcW w:type="dxa" w:w="1984"/>
          </w:tcPr>
          <w:p>
            <w:r>
              <w:rPr>
                <w:sz w:val="17"/>
              </w:rPr>
              <w:t>Frame rate — desktop (swiftshader (headless, software))</w:t>
            </w:r>
          </w:p>
        </w:tc>
        <w:tc>
          <w:tcPr>
            <w:tcW w:type="dxa" w:w="2835"/>
          </w:tcPr>
          <w:p>
            <w:r>
              <w:rPr>
                <w:sz w:val="17"/>
              </w:rPr>
              <w:t>60 fps while orbiting the 3D city</w:t>
            </w:r>
          </w:p>
        </w:tc>
        <w:tc>
          <w:tcPr>
            <w:tcW w:type="dxa" w:w="1531"/>
          </w:tcPr>
          <w:p>
            <w:r>
              <w:rPr>
                <w:sz w:val="17"/>
              </w:rPr>
              <w:t>60 fps</w:t>
            </w:r>
          </w:p>
        </w:tc>
        <w:tc>
          <w:tcPr>
            <w:tcW w:type="dxa" w:w="794"/>
          </w:tcPr>
          <w:p>
            <w:r>
              <w:rPr>
                <w:sz w:val="17"/>
              </w:rPr>
              <w:t>real</w:t>
            </w:r>
          </w:p>
        </w:tc>
        <w:tc>
          <w:tcPr>
            <w:tcW w:type="dxa" w:w="2041"/>
          </w:tcPr>
          <w:p>
            <w:r>
              <w:rPr>
                <w:rFonts w:ascii="Consolas" w:hAnsi="Consolas"/>
                <w:color w:val="5A5A5A"/>
                <w:sz w:val="15"/>
              </w:rPr>
              <w:t>fps_desktop</w:t>
            </w:r>
          </w:p>
        </w:tc>
      </w:tr>
      <w:tr>
        <w:trPr>
          <w:cantSplit/>
        </w:trPr>
        <w:tc>
          <w:tcPr>
            <w:tcW w:type="dxa" w:w="1984"/>
          </w:tcPr>
          <w:p>
            <w:r>
              <w:rPr>
                <w:sz w:val="17"/>
              </w:rPr>
              <w:t>Accessibility — desktop</w:t>
            </w:r>
          </w:p>
        </w:tc>
        <w:tc>
          <w:tcPr>
            <w:tcW w:type="dxa" w:w="2835"/>
          </w:tcPr>
          <w:p>
            <w:r>
              <w:rPr>
                <w:sz w:val="17"/>
              </w:rPr>
              <w:t>0 violations across 7 pages, WCAG 2.1 A + AA</w:t>
            </w:r>
          </w:p>
        </w:tc>
        <w:tc>
          <w:tcPr>
            <w:tcW w:type="dxa" w:w="1531"/>
          </w:tcPr>
          <w:p>
            <w:r>
              <w:rPr>
                <w:sz w:val="17"/>
              </w:rPr>
              <w:t>no serious violations</w:t>
            </w:r>
          </w:p>
        </w:tc>
        <w:tc>
          <w:tcPr>
            <w:tcW w:type="dxa" w:w="794"/>
          </w:tcPr>
          <w:p>
            <w:r>
              <w:rPr>
                <w:sz w:val="17"/>
              </w:rPr>
              <w:t>real</w:t>
            </w:r>
          </w:p>
        </w:tc>
        <w:tc>
          <w:tcPr>
            <w:tcW w:type="dxa" w:w="2041"/>
          </w:tcPr>
          <w:p>
            <w:r>
              <w:rPr>
                <w:rFonts w:ascii="Consolas" w:hAnsi="Consolas"/>
                <w:color w:val="5A5A5A"/>
                <w:sz w:val="15"/>
              </w:rPr>
              <w:t>accessibility_desktop</w:t>
            </w:r>
          </w:p>
        </w:tc>
      </w:tr>
      <w:tr>
        <w:trPr>
          <w:cantSplit/>
        </w:trPr>
        <w:tc>
          <w:tcPr>
            <w:tcW w:type="dxa" w:w="1984"/>
          </w:tcPr>
          <w:p>
            <w:r>
              <w:rPr>
                <w:sz w:val="17"/>
              </w:rPr>
              <w:t>Frame rate — phone (swiftshader (headless, software))</w:t>
            </w:r>
          </w:p>
        </w:tc>
        <w:tc>
          <w:tcPr>
            <w:tcW w:type="dxa" w:w="2835"/>
          </w:tcPr>
          <w:p>
            <w:r>
              <w:rPr>
                <w:sz w:val="17"/>
              </w:rPr>
              <w:t>60 fps while orbiting the 3D city</w:t>
            </w:r>
          </w:p>
        </w:tc>
        <w:tc>
          <w:tcPr>
            <w:tcW w:type="dxa" w:w="1531"/>
          </w:tcPr>
          <w:p>
            <w:r>
              <w:rPr>
                <w:sz w:val="17"/>
              </w:rPr>
              <w:t>30 fps</w:t>
            </w:r>
          </w:p>
        </w:tc>
        <w:tc>
          <w:tcPr>
            <w:tcW w:type="dxa" w:w="794"/>
          </w:tcPr>
          <w:p>
            <w:r>
              <w:rPr>
                <w:sz w:val="17"/>
              </w:rPr>
              <w:t>real</w:t>
            </w:r>
          </w:p>
        </w:tc>
        <w:tc>
          <w:tcPr>
            <w:tcW w:type="dxa" w:w="2041"/>
          </w:tcPr>
          <w:p>
            <w:r>
              <w:rPr>
                <w:rFonts w:ascii="Consolas" w:hAnsi="Consolas"/>
                <w:color w:val="5A5A5A"/>
                <w:sz w:val="15"/>
              </w:rPr>
              <w:t>fps_phone</w:t>
            </w:r>
          </w:p>
        </w:tc>
      </w:tr>
      <w:tr>
        <w:trPr>
          <w:cantSplit/>
        </w:trPr>
        <w:tc>
          <w:tcPr>
            <w:tcW w:type="dxa" w:w="1984"/>
          </w:tcPr>
          <w:p>
            <w:r>
              <w:rPr>
                <w:sz w:val="17"/>
              </w:rPr>
              <w:t>Accessibility — phone</w:t>
            </w:r>
          </w:p>
        </w:tc>
        <w:tc>
          <w:tcPr>
            <w:tcW w:type="dxa" w:w="2835"/>
          </w:tcPr>
          <w:p>
            <w:r>
              <w:rPr>
                <w:sz w:val="17"/>
              </w:rPr>
              <w:t>0 violations across 7 pages, WCAG 2.1 A + AA</w:t>
            </w:r>
          </w:p>
        </w:tc>
        <w:tc>
          <w:tcPr>
            <w:tcW w:type="dxa" w:w="1531"/>
          </w:tcPr>
          <w:p>
            <w:r>
              <w:rPr>
                <w:sz w:val="17"/>
              </w:rPr>
              <w:t>no serious violations</w:t>
            </w:r>
          </w:p>
        </w:tc>
        <w:tc>
          <w:tcPr>
            <w:tcW w:type="dxa" w:w="794"/>
          </w:tcPr>
          <w:p>
            <w:r>
              <w:rPr>
                <w:sz w:val="17"/>
              </w:rPr>
              <w:t>real</w:t>
            </w:r>
          </w:p>
        </w:tc>
        <w:tc>
          <w:tcPr>
            <w:tcW w:type="dxa" w:w="2041"/>
          </w:tcPr>
          <w:p>
            <w:r>
              <w:rPr>
                <w:rFonts w:ascii="Consolas" w:hAnsi="Consolas"/>
                <w:color w:val="5A5A5A"/>
                <w:sz w:val="15"/>
              </w:rPr>
              <w:t>accessibility_phone</w:t>
            </w:r>
          </w:p>
        </w:tc>
      </w:tr>
      <w:tr>
        <w:trPr>
          <w:cantSplit/>
        </w:trPr>
        <w:tc>
          <w:tcPr>
            <w:tcW w:type="dxa" w:w="1984"/>
          </w:tcPr>
          <w:p>
            <w:r>
              <w:rPr>
                <w:sz w:val="17"/>
              </w:rPr>
              <w:t>Page weight</w:t>
            </w:r>
          </w:p>
        </w:tc>
        <w:tc>
          <w:tcPr>
            <w:tcW w:type="dxa" w:w="2835"/>
          </w:tcPr>
          <w:p>
            <w:r>
              <w:rPr>
                <w:sz w:val="17"/>
              </w:rPr>
              <w:t>heaviest route /forecast at 292 KB brotli; three.js on none of them</w:t>
            </w:r>
          </w:p>
        </w:tc>
        <w:tc>
          <w:tcPr>
            <w:tcW w:type="dxa" w:w="1531"/>
          </w:tcPr>
          <w:p>
            <w:r>
              <w:rPr>
                <w:sz w:val="17"/>
              </w:rPr>
              <w:t>gated at 340 KB</w:t>
            </w:r>
          </w:p>
        </w:tc>
        <w:tc>
          <w:tcPr>
            <w:tcW w:type="dxa" w:w="794"/>
          </w:tcPr>
          <w:p>
            <w:r>
              <w:rPr>
                <w:sz w:val="17"/>
              </w:rPr>
              <w:t>real</w:t>
            </w:r>
          </w:p>
        </w:tc>
        <w:tc>
          <w:tcPr>
            <w:tcW w:type="dxa" w:w="2041"/>
          </w:tcPr>
          <w:p>
            <w:r>
              <w:rPr>
                <w:rFonts w:ascii="Consolas" w:hAnsi="Consolas"/>
                <w:color w:val="5A5A5A"/>
                <w:sz w:val="15"/>
              </w:rPr>
              <w:t>bundle</w:t>
            </w:r>
          </w:p>
        </w:tc>
      </w:tr>
      <w:tr>
        <w:trPr>
          <w:cantSplit/>
        </w:trPr>
        <w:tc>
          <w:tcPr>
            <w:tcW w:type="dxa" w:w="1984"/>
          </w:tcPr>
          <w:p>
            <w:r>
              <w:rPr>
                <w:sz w:val="17"/>
              </w:rPr>
              <w:t>Colour — computed, not eyeballed</w:t>
            </w:r>
          </w:p>
        </w:tc>
        <w:tc>
          <w:tcPr>
            <w:tcW w:type="dxa" w:w="2835"/>
          </w:tcPr>
          <w:p>
            <w:r>
              <w:rPr>
                <w:sz w:val="17"/>
              </w:rPr>
              <w:t>4 palettes checked for colourblind separation and contrast; 0 failed</w:t>
            </w:r>
          </w:p>
        </w:tc>
        <w:tc>
          <w:tcPr>
            <w:tcW w:type="dxa" w:w="1531"/>
          </w:tcPr>
          <w:p>
            <w:r>
              <w:rPr>
                <w:sz w:val="17"/>
              </w:rPr>
              <w:t>0 failures</w:t>
            </w:r>
          </w:p>
        </w:tc>
        <w:tc>
          <w:tcPr>
            <w:tcW w:type="dxa" w:w="794"/>
          </w:tcPr>
          <w:p>
            <w:r>
              <w:rPr>
                <w:sz w:val="17"/>
              </w:rPr>
              <w:t>real</w:t>
            </w:r>
          </w:p>
        </w:tc>
        <w:tc>
          <w:tcPr>
            <w:tcW w:type="dxa" w:w="2041"/>
          </w:tcPr>
          <w:p>
            <w:r>
              <w:rPr>
                <w:rFonts w:ascii="Consolas" w:hAnsi="Consolas"/>
                <w:color w:val="5A5A5A"/>
                <w:sz w:val="15"/>
              </w:rPr>
              <w:t>palette</w:t>
            </w:r>
          </w:p>
        </w:tc>
      </w:tr>
      <w:tr>
        <w:trPr>
          <w:cantSplit/>
        </w:trPr>
        <w:tc>
          <w:tcPr>
            <w:tcW w:type="dxa" w:w="1984"/>
          </w:tcPr>
          <w:p>
            <w:r>
              <w:rPr>
                <w:sz w:val="17"/>
              </w:rPr>
              <w:t>Running cost</w:t>
            </w:r>
          </w:p>
        </w:tc>
        <w:tc>
          <w:tcPr>
            <w:tcW w:type="dxa" w:w="2835"/>
          </w:tcPr>
          <w:p>
            <w:r>
              <w:rPr>
                <w:sz w:val="17"/>
              </w:rPr>
              <w:t>US$0.00/month; at a hundred daily users the free tier binds first on Gemini embeddings</w:t>
            </w:r>
          </w:p>
        </w:tc>
        <w:tc>
          <w:tcPr>
            <w:tcW w:type="dxa" w:w="1531"/>
          </w:tcPr>
          <w:p>
            <w:r>
              <w:rPr>
                <w:sz w:val="17"/>
              </w:rPr>
              <w:t>stays free at course scale</w:t>
            </w:r>
          </w:p>
        </w:tc>
        <w:tc>
          <w:tcPr>
            <w:tcW w:type="dxa" w:w="794"/>
          </w:tcPr>
          <w:p>
            <w:r>
              <w:rPr>
                <w:sz w:val="17"/>
              </w:rPr>
              <w:t>real</w:t>
            </w:r>
          </w:p>
        </w:tc>
        <w:tc>
          <w:tcPr>
            <w:tcW w:type="dxa" w:w="2041"/>
          </w:tcPr>
          <w:p>
            <w:r>
              <w:rPr>
                <w:rFonts w:ascii="Consolas" w:hAnsi="Consolas"/>
                <w:color w:val="5A5A5A"/>
                <w:sz w:val="15"/>
              </w:rPr>
              <w:t>unit_economics</w:t>
            </w:r>
          </w:p>
        </w:tc>
      </w:tr>
    </w:tbl>
    <w:p/>
    <w:p>
      <w:pPr>
        <w:pStyle w:val="Heading2"/>
      </w:pPr>
      <w:r>
        <w:t>Two faults found in the final review</w:t>
      </w:r>
    </w:p>
    <w:p>
      <w:pPr>
        <w:spacing w:after="120"/>
      </w:pPr>
      <w:r>
        <w:rPr>
          <w:b w:val="0"/>
          <w:i w:val="0"/>
          <w:color w:val="1A1A1A"/>
          <w:sz w:val="21"/>
        </w:rPr>
        <w:t>Both are recorded because a report that lists only what worked is not evidence of anything. The first: the Gemini API key was sent as a query parameter, and the HTTP library quotes the full request URL in the error it raises on a rejected call. That message was stored, logged with a traceback and sent to error tracking, so one wrong key would have written itself into four places. The key now travels in a header, verified against the live API rather than the documentation. Notably, the repository's own secret scanner would never have caught it, because the key was never in a file.</w:t>
      </w:r>
    </w:p>
    <w:p>
      <w:pPr>
        <w:spacing w:after="120"/>
      </w:pPr>
      <w:r>
        <w:rPr>
          <w:b w:val="0"/>
          <w:i w:val="0"/>
          <w:color w:val="1A1A1A"/>
          <w:sz w:val="21"/>
        </w:rPr>
        <w:t>The second: the Word export escaped markup but not encoding, so a control character in model-written text produced a document Word calls corrupt — from an API call that returned success. The exporter now strips what XML cannot carry and parses the document before shipping it.</w:t>
      </w:r>
    </w:p>
    <w:p>
      <w:pPr>
        <w:pStyle w:val="Heading1"/>
      </w:pPr>
      <w:r>
        <w:t>7. Limitations</w:t>
      </w:r>
    </w:p>
    <w:p>
      <w:pPr>
        <w:spacing w:after="120"/>
      </w:pPr>
      <w:r>
        <w:rPr>
          <w:b w:val="0"/>
          <w:i w:val="0"/>
          <w:color w:val="1A1A1A"/>
          <w:sz w:val="21"/>
        </w:rPr>
        <w:t>Stated plainly, and in the order they would change a conclusion.</w:t>
      </w:r>
    </w:p>
    <w:p>
      <w:pPr>
        <w:pStyle w:val="ListBullet"/>
        <w:spacing w:after="100"/>
      </w:pPr>
      <w:r>
        <w:rPr>
          <w:b/>
          <w:sz w:val="20"/>
        </w:rPr>
        <w:t xml:space="preserve">The data. </w:t>
      </w:r>
      <w:r>
        <w:rPr>
          <w:sz w:val="20"/>
        </w:rPr>
        <w:t>Everything downstream is built and tested against a labelled stand-in. A model that fits generated data has demonstrated that the pipeline runs. It has demonstrated nothing about Dubai.</w:t>
      </w:r>
    </w:p>
    <w:p>
      <w:pPr>
        <w:pStyle w:val="ListBullet"/>
        <w:spacing w:after="100"/>
      </w:pPr>
      <w:r>
        <w:rPr>
          <w:b/>
          <w:sz w:val="20"/>
        </w:rPr>
        <w:t xml:space="preserve">The retrieval figures. </w:t>
      </w:r>
      <w:r>
        <w:rPr>
          <w:sz w:val="20"/>
        </w:rPr>
        <w:t>The corpus is 117 chunks from 5 documents. Recall@5 of 1.00 on a corpus that small is not evidence of a good retriever — the rank-sensitive measures are the informative ones, and only a few of the 38 cases are Arabic. The evaluation also ran against the offline lexical fallback, so the hybrid design it exists to measure has not yet been scored against a live embedding provider.</w:t>
      </w:r>
    </w:p>
    <w:p>
      <w:pPr>
        <w:pStyle w:val="ListBullet"/>
        <w:spacing w:after="100"/>
      </w:pPr>
      <w:r>
        <w:rPr>
          <w:b/>
          <w:sz w:val="20"/>
        </w:rPr>
        <w:t xml:space="preserve">Refusal is not structural. </w:t>
      </w:r>
      <w:r>
        <w:rPr>
          <w:sz w:val="20"/>
        </w:rPr>
        <w:t>A relevance threshold below which the system would decline was measured and rejected: on this corpus no signal separates out-of-scope questions from in-scope ones without refusing real questions. Refusal is therefore enforced at the answering stage, where an uncited sentence is dropped, rather than at retrieval.</w:t>
      </w:r>
    </w:p>
    <w:p>
      <w:pPr>
        <w:pStyle w:val="ListBullet"/>
        <w:spacing w:after="100"/>
      </w:pPr>
      <w:r>
        <w:rPr>
          <w:b/>
          <w:sz w:val="20"/>
        </w:rPr>
        <w:t xml:space="preserve">Community shapes. </w:t>
      </w:r>
      <w:r>
        <w:rPr>
          <w:sz w:val="20"/>
        </w:rPr>
        <w:t>Curated centroid hex cells, not true polygons — no GeoJSON source was reachable. They place a cell on a map and are never used in a financial calculation.</w:t>
      </w:r>
    </w:p>
    <w:p>
      <w:pPr>
        <w:pStyle w:val="ListBullet"/>
        <w:spacing w:after="100"/>
      </w:pPr>
      <w:r>
        <w:rPr>
          <w:b/>
          <w:sz w:val="20"/>
        </w:rPr>
        <w:t xml:space="preserve">Service charges. </w:t>
      </w:r>
      <w:r>
        <w:rPr>
          <w:sz w:val="20"/>
        </w:rPr>
        <w:t>Estimated, and they are the largest single input to net yield. Per-building figures would change the ranking of communities.</w:t>
      </w:r>
    </w:p>
    <w:p>
      <w:pPr>
        <w:pStyle w:val="ListBullet"/>
        <w:spacing w:after="100"/>
      </w:pPr>
      <w:r>
        <w:rPr>
          <w:b/>
          <w:sz w:val="20"/>
        </w:rPr>
        <w:t xml:space="preserve">Yields use area medians. </w:t>
      </w:r>
      <w:r>
        <w:rPr>
          <w:sz w:val="20"/>
        </w:rPr>
        <w:t>A yield describes the area and bedroom count, not the specific unit.</w:t>
      </w:r>
    </w:p>
    <w:p>
      <w:pPr>
        <w:pStyle w:val="ListBullet"/>
        <w:spacing w:after="100"/>
      </w:pPr>
      <w:r>
        <w:rPr>
          <w:b/>
          <w:sz w:val="20"/>
        </w:rPr>
        <w:t xml:space="preserve">Accounts come from an environment variable. </w:t>
      </w:r>
      <w:r>
        <w:rPr>
          <w:sz w:val="20"/>
        </w:rPr>
        <w:t>There is no signup. A deliberate limit for a course deployment; the interface behind it does not change when a user table replaces it.</w:t>
      </w:r>
    </w:p>
    <w:p>
      <w:pPr>
        <w:pStyle w:val="Heading1"/>
      </w:pPr>
      <w:r>
        <w:t>8. How provenance is enforced</w:t>
      </w:r>
    </w:p>
    <w:p>
      <w:pPr>
        <w:spacing w:after="120"/>
      </w:pPr>
      <w:r>
        <w:rPr>
          <w:b w:val="0"/>
          <w:i w:val="0"/>
          <w:color w:val="1A1A1A"/>
          <w:sz w:val="21"/>
        </w:rPr>
        <w:t>The rule is that generated figures must not reach a graded artefact. The mechanism is a script, not a habit: scripts/guard_synthetic.py inspects every table in the database for rows stamped SYNTHETIC and every results file for an explicit declaration that it is REAL. It runs in CI on every push and before any Term 4 document is produced.</w:t>
      </w:r>
    </w:p>
    <w:p>
      <w:pPr>
        <w:spacing w:after="120"/>
      </w:pPr>
      <w:r>
        <w:rPr>
          <w:b w:val="0"/>
          <w:i w:val="0"/>
          <w:color w:val="1A1A1A"/>
          <w:sz w:val="21"/>
        </w:rPr>
        <w:t>It requires a declaration rather than inferring realness from the absence of the word synthetic. An earlier version inferred, and passed a profile of generated data that simply happened not to contain the string.</w:t>
      </w:r>
    </w:p>
    <w:p>
      <w:pPr>
        <w:spacing w:after="120"/>
      </w:pPr>
      <w:r>
        <w:rPr>
          <w:b w:val="0"/>
          <w:i/>
          <w:color w:val="1A1A1A"/>
          <w:sz w:val="21"/>
        </w:rPr>
        <w:t>At the time this document was generated the guard was blocking, and this report was produced with --draft, which is why every model figure above carries a provenance column. The guard reported:</w:t>
      </w:r>
    </w:p>
    <w:p>
      <w:pPr>
        <w:pStyle w:val="ListBullet"/>
      </w:pPr>
      <w:r>
        <w:rPr>
          <w:rFonts w:ascii="Consolas" w:hAnsi="Consolas"/>
          <w:color w:val="9A3A12"/>
          <w:sz w:val="17"/>
        </w:rPr>
        <w:t>yieldmap.duckdb: table 'data_freshness' holds 2/2 synthetic rows</w:t>
      </w:r>
    </w:p>
    <w:p>
      <w:pPr>
        <w:pStyle w:val="ListBullet"/>
      </w:pPr>
      <w:r>
        <w:rPr>
          <w:rFonts w:ascii="Consolas" w:hAnsi="Consolas"/>
          <w:color w:val="9A3A12"/>
          <w:sz w:val="17"/>
        </w:rPr>
        <w:t>yieldmap.duckdb: table 'rent_contracts' holds 90,000/90,000 synthetic rows</w:t>
      </w:r>
    </w:p>
    <w:p>
      <w:pPr>
        <w:pStyle w:val="ListBullet"/>
      </w:pPr>
      <w:r>
        <w:rPr>
          <w:rFonts w:ascii="Consolas" w:hAnsi="Consolas"/>
          <w:color w:val="9A3A12"/>
          <w:sz w:val="17"/>
        </w:rPr>
        <w:t>yieldmap.duckdb: table 'transactions' holds 120,346/120,346 synthetic rows</w:t>
      </w:r>
    </w:p>
    <w:p>
      <w:pPr>
        <w:spacing w:after="120"/>
      </w:pPr>
      <w:r>
        <w:rPr>
          <w:b w:val="0"/>
          <w:i/>
          <w:color w:val="5A5A5A"/>
          <w:sz w:val="21"/>
        </w:rPr>
        <w:t>Loading a real drop and rebuilding changes every model figure in this report and requires no code change. Regenerating this document without --draft would then succeed, and the provenance column would disappear because it would have nothing to say.</w:t>
      </w:r>
    </w:p>
    <w:p>
      <w:pPr>
        <w:pStyle w:val="Heading1"/>
      </w:pPr>
      <w:r>
        <w:t>9. Business case</w:t>
      </w:r>
    </w:p>
    <w:p>
      <w:pPr>
        <w:spacing w:after="120"/>
      </w:pPr>
      <w:r>
        <w:rPr>
          <w:b w:val="0"/>
          <w:i w:val="0"/>
          <w:color w:val="1A1A1A"/>
          <w:sz w:val="21"/>
        </w:rPr>
        <w:t>The system runs at no cost. That is a design constraint rather than an accident: the model provider chain is a local tier, then two free API tiers, then an offline deterministic backend, and the paid backend is present in the code but refuses to run behind two separate switches — a zero-cost claim should not be one stray environment variable away from being false.</w:t>
      </w:r>
    </w:p>
    <w:p>
      <w:pPr>
        <w:spacing w:after="120"/>
      </w:pPr>
      <w:r>
        <w:rPr>
          <w:b w:val="0"/>
          <w:i w:val="0"/>
          <w:color w:val="1A1A1A"/>
          <w:sz w:val="21"/>
        </w:rPr>
        <w:t>Quotas are counted in requests rather than tokens, because that is how the free tiers meter. Rates were verified on 2026-09-06. The ledger is durable across processes, so a nightly job and an interactive session share one daily allowance.</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cantSplit/>
        </w:trPr>
        <w:tc>
          <w:tcPr>
            <w:tcW w:type="dxa" w:w="2268"/>
            <w:shd w:val="clear" w:fill="EDF4F2"/>
          </w:tcPr>
          <w:p>
            <w:r>
              <w:rPr>
                <w:rFonts w:ascii="Cambria" w:hAnsi="Cambria"/>
                <w:b/>
                <w:color w:val="1F7A70"/>
                <w:sz w:val="18"/>
              </w:rPr>
              <w:t>Measure</w:t>
            </w:r>
          </w:p>
        </w:tc>
        <w:tc>
          <w:tcPr>
            <w:tcW w:type="dxa" w:w="3402"/>
            <w:shd w:val="clear" w:fill="EDF4F2"/>
          </w:tcPr>
          <w:p>
            <w:r>
              <w:rPr>
                <w:rFonts w:ascii="Cambria" w:hAnsi="Cambria"/>
                <w:b/>
                <w:color w:val="1F7A70"/>
                <w:sz w:val="18"/>
              </w:rPr>
              <w:t>Result</w:t>
            </w:r>
          </w:p>
        </w:tc>
        <w:tc>
          <w:tcPr>
            <w:tcW w:type="dxa" w:w="1587"/>
            <w:shd w:val="clear" w:fill="EDF4F2"/>
          </w:tcPr>
          <w:p>
            <w:r>
              <w:rPr>
                <w:rFonts w:ascii="Cambria" w:hAnsi="Cambria"/>
                <w:b/>
                <w:color w:val="1F7A70"/>
                <w:sz w:val="18"/>
              </w:rPr>
              <w:t>Target</w:t>
            </w:r>
          </w:p>
        </w:tc>
        <w:tc>
          <w:tcPr>
            <w:tcW w:type="dxa" w:w="1928"/>
            <w:shd w:val="clear" w:fill="EDF4F2"/>
          </w:tcPr>
          <w:p>
            <w:r>
              <w:rPr>
                <w:rFonts w:ascii="Cambria" w:hAnsi="Cambria"/>
                <w:b/>
                <w:color w:val="1F7A70"/>
                <w:sz w:val="18"/>
              </w:rPr>
              <w:t>In docs/results/</w:t>
            </w:r>
          </w:p>
        </w:tc>
      </w:tr>
      <w:tr>
        <w:trPr>
          <w:cantSplit/>
        </w:trPr>
        <w:tc>
          <w:tcPr>
            <w:tcW w:type="dxa" w:w="2268"/>
          </w:tcPr>
          <w:p>
            <w:r>
              <w:rPr>
                <w:sz w:val="17"/>
              </w:rPr>
              <w:t>a demo day</w:t>
            </w:r>
          </w:p>
        </w:tc>
        <w:tc>
          <w:tcPr>
            <w:tcW w:type="dxa" w:w="3402"/>
          </w:tcPr>
          <w:p>
            <w:r>
              <w:rPr>
                <w:sz w:val="17"/>
              </w:rPr>
              <w:t>38 model requests, 26 embedding requests, 60 CPU seconds</w:t>
            </w:r>
          </w:p>
        </w:tc>
        <w:tc>
          <w:tcPr>
            <w:tcW w:type="dxa" w:w="1587"/>
          </w:tcPr>
          <w:p>
            <w:r>
              <w:rPr>
                <w:sz w:val="17"/>
              </w:rPr>
              <w:t>binds on Gemini embeddings</w:t>
            </w:r>
          </w:p>
        </w:tc>
        <w:tc>
          <w:tcPr>
            <w:tcW w:type="dxa" w:w="1928"/>
          </w:tcPr>
          <w:p>
            <w:r>
              <w:rPr>
                <w:rFonts w:ascii="Consolas" w:hAnsi="Consolas"/>
                <w:color w:val="5A5A5A"/>
                <w:sz w:val="15"/>
              </w:rPr>
              <w:t>unit_economics</w:t>
            </w:r>
          </w:p>
        </w:tc>
      </w:tr>
      <w:tr>
        <w:trPr>
          <w:cantSplit/>
        </w:trPr>
        <w:tc>
          <w:tcPr>
            <w:tcW w:type="dxa" w:w="2268"/>
          </w:tcPr>
          <w:p>
            <w:r>
              <w:rPr>
                <w:sz w:val="17"/>
              </w:rPr>
              <w:t>a busy course week, per day</w:t>
            </w:r>
          </w:p>
        </w:tc>
        <w:tc>
          <w:tcPr>
            <w:tcW w:type="dxa" w:w="3402"/>
          </w:tcPr>
          <w:p>
            <w:r>
              <w:rPr>
                <w:sz w:val="17"/>
              </w:rPr>
              <w:t>300 model requests, 200 embedding requests, 532 CPU seconds</w:t>
            </w:r>
          </w:p>
        </w:tc>
        <w:tc>
          <w:tcPr>
            <w:tcW w:type="dxa" w:w="1587"/>
          </w:tcPr>
          <w:p>
            <w:r>
              <w:rPr>
                <w:sz w:val="17"/>
              </w:rPr>
              <w:t>binds on Gemini 2.5 Flash (generation)</w:t>
            </w:r>
          </w:p>
        </w:tc>
        <w:tc>
          <w:tcPr>
            <w:tcW w:type="dxa" w:w="1928"/>
          </w:tcPr>
          <w:p>
            <w:r>
              <w:rPr>
                <w:rFonts w:ascii="Consolas" w:hAnsi="Consolas"/>
                <w:color w:val="5A5A5A"/>
                <w:sz w:val="15"/>
              </w:rPr>
              <w:t>unit_economics</w:t>
            </w:r>
          </w:p>
        </w:tc>
      </w:tr>
      <w:tr>
        <w:trPr>
          <w:cantSplit/>
        </w:trPr>
        <w:tc>
          <w:tcPr>
            <w:tcW w:type="dxa" w:w="2268"/>
          </w:tcPr>
          <w:p>
            <w:r>
              <w:rPr>
                <w:sz w:val="17"/>
              </w:rPr>
              <w:t>a hundred daily users</w:t>
            </w:r>
          </w:p>
        </w:tc>
        <w:tc>
          <w:tcPr>
            <w:tcW w:type="dxa" w:w="3402"/>
          </w:tcPr>
          <w:p>
            <w:r>
              <w:rPr>
                <w:sz w:val="17"/>
              </w:rPr>
              <w:t>1520 model requests, 1040 embedding requests, 4,180 CPU seconds</w:t>
            </w:r>
          </w:p>
        </w:tc>
        <w:tc>
          <w:tcPr>
            <w:tcW w:type="dxa" w:w="1587"/>
          </w:tcPr>
          <w:p>
            <w:r>
              <w:rPr>
                <w:sz w:val="17"/>
              </w:rPr>
              <w:t>binds on Gemini embeddings</w:t>
            </w:r>
          </w:p>
        </w:tc>
        <w:tc>
          <w:tcPr>
            <w:tcW w:type="dxa" w:w="1928"/>
          </w:tcPr>
          <w:p>
            <w:r>
              <w:rPr>
                <w:rFonts w:ascii="Consolas" w:hAnsi="Consolas"/>
                <w:color w:val="5A5A5A"/>
                <w:sz w:val="15"/>
              </w:rPr>
              <w:t>unit_economics</w:t>
            </w:r>
          </w:p>
        </w:tc>
      </w:tr>
    </w:tbl>
    <w:p/>
    <w:p>
      <w:pPr>
        <w:spacing w:after="120"/>
      </w:pPr>
      <w:r>
        <w:rPr>
          <w:b w:val="0"/>
          <w:i w:val="0"/>
          <w:color w:val="1A1A1A"/>
          <w:sz w:val="21"/>
        </w:rPr>
        <w:t>The binding constraint at a hundred daily users is embeddings rather than generation, which is the useful part of the answer: it says caching embeddings, not switching model, is what buys headroom. Embeddings are already cached to disk per chunk, so the quota is spent once per document rather than once per question.</w:t>
      </w:r>
    </w:p>
    <w:p>
      <w:pPr>
        <w:pStyle w:val="Heading2"/>
      </w:pPr>
      <w:r>
        <w:t>What it would take to run this for real</w:t>
      </w:r>
    </w:p>
    <w:p>
      <w:pPr>
        <w:pStyle w:val="ListBullet"/>
        <w:spacing w:after="60"/>
      </w:pPr>
      <w:r>
        <w:t>A licensed data feed or a standing agreement with the Land Department, which removes the single largest limitation in section 7.</w:t>
      </w:r>
    </w:p>
    <w:p>
      <w:pPr>
        <w:pStyle w:val="ListBullet"/>
        <w:spacing w:after="60"/>
      </w:pPr>
      <w:r>
        <w:t>Per-building service charges, which dominate net yield and are currently estimated.</w:t>
      </w:r>
    </w:p>
    <w:p>
      <w:pPr>
        <w:pStyle w:val="ListBullet"/>
        <w:spacing w:after="60"/>
      </w:pPr>
      <w:r>
        <w:t>A paid model tier only if concurrency demanded it; the architecture does not assume one.</w:t>
      </w:r>
    </w:p>
    <w:p>
      <w:pPr>
        <w:pStyle w:val="Heading1"/>
      </w:pPr>
      <w:r>
        <w:t>10. Conclusion</w:t>
      </w:r>
    </w:p>
    <w:p>
      <w:pPr>
        <w:spacing w:after="120"/>
      </w:pPr>
      <w:r>
        <w:rPr>
          <w:b w:val="0"/>
          <w:i w:val="0"/>
          <w:color w:val="1A1A1A"/>
          <w:sz w:val="21"/>
        </w:rPr>
        <w:t>YIELDMAP is a working system rather than a prototype: deployed, tested, measured, and honest about the one thing it cannot yet claim. The pipeline runs end to end — registry to warehouse to model to API to interface to cited answer to audited memo — and every number it shows carries the query that produced it.</w:t>
      </w:r>
    </w:p>
    <w:p>
      <w:pPr>
        <w:spacing w:after="120"/>
      </w:pPr>
      <w:r>
        <w:rPr>
          <w:b w:val="0"/>
          <w:i w:val="0"/>
          <w:color w:val="1A1A1A"/>
          <w:sz w:val="21"/>
        </w:rPr>
        <w:t>What remains is data, and it is a data problem rather than a code problem. The publisher will not serve its files to a machine; a person can download them in a browser in a few minutes. One command loads them, every figure in this report changes, and the provenance column disappears.</w:t>
      </w:r>
    </w:p>
    <w:p>
      <w:pPr>
        <w:spacing w:after="120"/>
      </w:pPr>
      <w:r>
        <w:rPr>
          <w:b w:val="0"/>
          <w:i w:val="0"/>
          <w:color w:val="1A1A1A"/>
          <w:sz w:val="21"/>
        </w:rPr>
        <w:t>The part worth carrying forward is the discipline rather than the domain. A figure that cannot be traced is not shown. A guarantee that is only asked for in a prompt is enforced after the fact. A control that is claimed is attacked in CI. Several of the faults described in this report were found by applying those rules to the project's own claims, which is the strongest argument for them.</w:t>
      </w:r>
    </w:p>
    <w:sectPr w:rsidR="00FC693F" w:rsidRPr="0006063C" w:rsidSect="00034616">
      <w:headerReference w:type="default" r:id="rId9"/>
      <w:footerReference w:type="default" r:id="rId10"/>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fldChar w:fldCharType="begin"/>
      <w:instrText xml:space="preserve">PAGE</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5A5A5A"/>
        <w:sz w:val="16"/>
      </w:rPr>
      <w:t>YIELDMAP · AI 217 — Artificial Intelligence in Finance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mbria" w:hAnsi="Cambria"/>
      <w:b/>
      <w:bCs/>
      <w:color w:val="1F7A70"/>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mbria" w:hAnsi="Cambria"/>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mbria" w:hAnsi="Cambria"/>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