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Bank Conversion Copilot</w:t>
      </w:r>
    </w:p>
    <w:p>
      <w:pPr>
        <w:jc w:val="center"/>
      </w:pPr>
      <w:r>
        <w:t>Cost-optimised targeting for outbound term-deposit campaigns</w:t>
      </w:r>
    </w:p>
    <w:p>
      <w:pPr>
        <w:jc w:val="center"/>
      </w:pPr>
      <w:r>
        <w:t>Final Group Project -- ML Model Deployment using Hugging Face and GitHub Actions</w:t>
        <w:br/>
        <w:t>SP Jain School of Global Management, Dubai -- Software Development for AI Models</w:t>
      </w:r>
    </w:p>
    <w:p/>
    <w:p>
      <w:pPr>
        <w:jc w:val="center"/>
      </w:pPr>
      <w:r>
        <w:rPr>
          <w:b/>
        </w:rPr>
        <w:t>Group Members</w:t>
      </w:r>
    </w:p>
    <w:p>
      <w:pPr>
        <w:jc w:val="center"/>
      </w:pPr>
      <w:r>
        <w:t>Krishna Mathur</w:t>
      </w:r>
    </w:p>
    <w:p>
      <w:pPr>
        <w:jc w:val="center"/>
      </w:pPr>
      <w:r>
        <w:t>Atharva Soundankar</w:t>
      </w:r>
    </w:p>
    <w:p>
      <w:pPr>
        <w:jc w:val="center"/>
      </w:pPr>
      <w:r>
        <w:t>Yash Petkar</w:t>
      </w:r>
    </w:p>
    <w:p/>
    <w:p>
      <w:pPr>
        <w:jc w:val="center"/>
      </w:pPr>
      <w:r>
        <w:t>GitHub repository: https://github.com/krish2105/bank-conversion-copilot</w:t>
        <w:br/>
      </w:r>
      <w:r>
        <w:t>Hugging Face Space: https://huggingface.co/spaces/krish21may/bank</w:t>
      </w:r>
    </w:p>
    <w:p>
      <w:r>
        <w:br w:type="page"/>
      </w:r>
    </w:p>
    <w:p>
      <w:pPr>
        <w:pStyle w:val="Heading1"/>
      </w:pPr>
      <w:r>
        <w:t>1. Problem Statement and Practical/Business Objective</w:t>
      </w:r>
    </w:p>
    <w:p>
      <w:r>
        <w:t>A retail bank's call centre has finite agent hours and roughly an 11% conversion rate on term-deposit telemarketing outbound calls. Calling every prospect wastes agent time and money; calling too few leaves revenue unrealised. The practical objective is not simply to predict who will subscribe -- it is to rank prospects by expected net value in EUR at a cost-optimal decision threshold, so a capacity-constrained call centre knows exactly who to phone first. This directly supports a marketing/finance business objective: maximise campaign profit under a fixed calling budget, rather than maximise a generic accuracy metric that a naive 'predict everyone will say no' baseline would already win.</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Cost per call (EUR)</w:t>
            </w:r>
          </w:p>
        </w:tc>
        <w:tc>
          <w:tcPr>
            <w:tcW w:type="dxa" w:w="4320"/>
          </w:tcPr>
          <w:p>
            <w:r>
              <w:t>8.0</w:t>
            </w:r>
          </w:p>
        </w:tc>
      </w:tr>
      <w:tr>
        <w:tc>
          <w:tcPr>
            <w:tcW w:type="dxa" w:w="4320"/>
          </w:tcPr>
          <w:p>
            <w:r>
              <w:t>Revenue per subscription (EUR)</w:t>
            </w:r>
          </w:p>
        </w:tc>
        <w:tc>
          <w:tcPr>
            <w:tcW w:type="dxa" w:w="4320"/>
          </w:tcPr>
          <w:p>
            <w:r>
              <w:t>120.0</w:t>
            </w:r>
          </w:p>
        </w:tc>
      </w:tr>
      <w:tr>
        <w:tc>
          <w:tcPr>
            <w:tcW w:type="dxa" w:w="4320"/>
          </w:tcPr>
          <w:p>
            <w:r>
              <w:t>Break-even probability</w:t>
            </w:r>
          </w:p>
        </w:tc>
        <w:tc>
          <w:tcPr>
            <w:tcW w:type="dxa" w:w="4320"/>
          </w:tcPr>
          <w:p>
            <w:r>
              <w:t>0.0667</w:t>
            </w:r>
          </w:p>
        </w:tc>
      </w:tr>
    </w:tbl>
    <w:p>
      <w:pPr>
        <w:pStyle w:val="Heading1"/>
      </w:pPr>
      <w:r>
        <w:t>2. Dataset Description and Source</w:t>
      </w:r>
    </w:p>
    <w:p>
      <w:r>
        <w:t>UCI Machine Learning Repository, Bank Marketing dataset (id 222), bank-additional-full variant. Moro, S., Cortez, P., &amp; Rita, P. (2014). A data-driven approach to predict the success of bank telemarketing. Decision Support Systems, 62, 22-31. https://archive.ics.uci.edu/dataset/222/bank+marketing</w:t>
      </w:r>
    </w:p>
    <w:p>
      <w:r>
        <w:t>20 input features spanning client demographics (age, job, marital status, education), the current campaign (contact type, month, day of week, number of contacts), the previous campaign (days since last contact, prior outcome), and five macro-economic indicators (employment variation rate, consumer price index, consumer confidence index, euribor 3-month rate, number employed). Target: y (yes/no, did the client subscribe to a term deposit).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Rows</w:t>
            </w:r>
          </w:p>
        </w:tc>
        <w:tc>
          <w:tcPr>
            <w:tcW w:type="dxa" w:w="4320"/>
          </w:tcPr>
          <w:p>
            <w:r>
              <w:t>41188</w:t>
            </w:r>
          </w:p>
        </w:tc>
      </w:tr>
      <w:tr>
        <w:tc>
          <w:tcPr>
            <w:tcW w:type="dxa" w:w="4320"/>
          </w:tcPr>
          <w:p>
            <w:r>
              <w:t>Duplicate rows</w:t>
            </w:r>
          </w:p>
        </w:tc>
        <w:tc>
          <w:tcPr>
            <w:tcW w:type="dxa" w:w="4320"/>
          </w:tcPr>
          <w:p>
            <w:r>
              <w:t>12</w:t>
            </w:r>
          </w:p>
        </w:tc>
      </w:tr>
      <w:tr>
        <w:tc>
          <w:tcPr>
            <w:tcW w:type="dxa" w:w="4320"/>
          </w:tcPr>
          <w:p>
            <w:r>
              <w:t>pdays sentinel (999 = never contacted) share</w:t>
            </w:r>
          </w:p>
        </w:tc>
        <w:tc>
          <w:tcPr>
            <w:tcW w:type="dxa" w:w="4320"/>
          </w:tcPr>
          <w:p>
            <w:r>
              <w:t>96.32%</w:t>
            </w:r>
          </w:p>
        </w:tc>
      </w:tr>
      <w:tr>
        <w:tc>
          <w:tcPr>
            <w:tcW w:type="dxa" w:w="4320"/>
          </w:tcPr>
          <w:p>
            <w:r>
              <w:t>Train / validation / test rows (chronological split)</w:t>
            </w:r>
          </w:p>
        </w:tc>
        <w:tc>
          <w:tcPr>
            <w:tcW w:type="dxa" w:w="4320"/>
          </w:tcPr>
          <w:p>
            <w:r>
              <w:t>27972 / 8252 / 4964</w:t>
            </w:r>
          </w:p>
        </w:tc>
      </w:tr>
    </w:tbl>
    <w:p>
      <w:pPr>
        <w:pStyle w:val="Heading1"/>
      </w:pPr>
      <w:r>
        <w:t>3. EDA and Key Observations</w:t>
      </w:r>
    </w:p>
    <w:p>
      <w:r>
        <w:t>Missing values, categorical variables, and outliers were audited explicitly rather than assumed: pandas.isna() reports zero nulls on this dataset, because six categorical columns (job, marital, education, default, housing, loan) encode missingness as the literal string 'unknown' instead of NaN. pdays uses 999 as a sentinel for 'never previously contacted' rather than a real day count. Both are treated as first-class signals in preprocessing (Section 4), not silently imputed away.</w:t>
      </w:r>
    </w:p>
    <w:p>
      <w:pPr>
        <w:pStyle w:val="ListBullet"/>
      </w:pPr>
      <w:r>
        <w:rPr>
          <w:b/>
        </w:rPr>
        <w:t xml:space="preserve">Target class balance: </w:t>
      </w:r>
      <w:r>
        <w:t>{"positive_rate": 0.052373802373802375}</w:t>
      </w:r>
    </w:p>
    <w:p>
      <w:pPr>
        <w:pStyle w:val="ListBullet"/>
      </w:pPr>
      <w:r>
        <w:rPr>
          <w:b/>
        </w:rPr>
        <w:t xml:space="preserve">Duration by outcome: </w:t>
      </w:r>
      <w:r>
        <w:t>{"median_duration_by_class": {"no": 162.0, "yes": 741.0}}</w:t>
      </w:r>
    </w:p>
    <w:p>
      <w:pPr>
        <w:pStyle w:val="ListBullet"/>
      </w:pPr>
      <w:r>
        <w:rPr>
          <w:b/>
        </w:rPr>
        <w:t xml:space="preserve">Age distribution: </w:t>
      </w:r>
      <w:r>
        <w:t>{"median_age": 39.0}</w:t>
      </w:r>
    </w:p>
    <w:p>
      <w:pPr>
        <w:pStyle w:val="ListBullet"/>
      </w:pPr>
      <w:r>
        <w:rPr>
          <w:b/>
        </w:rPr>
        <w:t xml:space="preserve">Conversion rate by job: </w:t>
      </w:r>
      <w:r>
        <w:t>{"top_job": "student", "bottom_job": "housemaid"}</w:t>
      </w:r>
    </w:p>
    <w:p>
      <w:pPr>
        <w:pStyle w:val="ListBullet"/>
      </w:pPr>
      <w:r>
        <w:rPr>
          <w:b/>
        </w:rPr>
        <w:t xml:space="preserve">euribor3m trend across periods: </w:t>
      </w:r>
      <w:r>
        <w:t>{"min": 1.6462198581560283, "max": 4.964804251207729}</w:t>
      </w:r>
    </w:p>
    <w:p>
      <w:pPr>
        <w:pStyle w:val="ListBullet"/>
      </w:pPr>
      <w:r>
        <w:rPr>
          <w:b/>
        </w:rPr>
        <w:t xml:space="preserve">pdays sentinel share: </w:t>
      </w:r>
      <w:r>
        <w:t>{"never_contacted_share": 0.9986057486057486}</w:t>
      </w:r>
    </w:p>
    <w:p>
      <w:r>
        <w:t>Key observation: call duration is dramatically different between outcomes (median ~162s for 'no' vs ~741s for 'yes') -- this is exactly why duration is excluded from the model (Section 4): it is only known after the call ends, so it cannot inform the decision of whether to place the call. A second key observation is severe macro-economic drift: euribor3m ranges from under 2% to nearly 5% across the campaign period, spanning the 2008 financial crisis -- this directly explains the model performance discussion in Section 6.</w:t>
      </w:r>
    </w:p>
    <w:p>
      <w:pPr>
        <w:jc w:val="center"/>
      </w:pPr>
      <w:r>
        <w:drawing>
          <wp:inline xmlns:a="http://schemas.openxmlformats.org/drawingml/2006/main" xmlns:pic="http://schemas.openxmlformats.org/drawingml/2006/picture">
            <wp:extent cx="4572000" cy="3657600"/>
            <wp:docPr id="1" name="Picture 1"/>
            <wp:cNvGraphicFramePr>
              <a:graphicFrameLocks noChangeAspect="1"/>
            </wp:cNvGraphicFramePr>
            <a:graphic>
              <a:graphicData uri="http://schemas.openxmlformats.org/drawingml/2006/picture">
                <pic:pic>
                  <pic:nvPicPr>
                    <pic:cNvPr id="0" name="01_target_balance.png"/>
                    <pic:cNvPicPr/>
                  </pic:nvPicPr>
                  <pic:blipFill>
                    <a:blip r:embed="rId9"/>
                    <a:stretch>
                      <a:fillRect/>
                    </a:stretch>
                  </pic:blipFill>
                  <pic:spPr>
                    <a:xfrm>
                      <a:off x="0" y="0"/>
                      <a:ext cx="4572000" cy="3657600"/>
                    </a:xfrm>
                    <a:prstGeom prst="rect"/>
                  </pic:spPr>
                </pic:pic>
              </a:graphicData>
            </a:graphic>
          </wp:inline>
        </w:drawing>
      </w:r>
    </w:p>
    <w:p>
      <w:pPr>
        <w:jc w:val="center"/>
      </w:pPr>
      <w:r>
        <w:rPr>
          <w:i/>
          <w:sz w:val="18"/>
        </w:rPr>
        <w:t>Figure 1: Target class balance (~11% positive on the full dataset).</w:t>
      </w:r>
    </w:p>
    <w:p>
      <w:pPr>
        <w:jc w:val="center"/>
      </w:pPr>
      <w:r>
        <w:drawing>
          <wp:inline xmlns:a="http://schemas.openxmlformats.org/drawingml/2006/main" xmlns:pic="http://schemas.openxmlformats.org/drawingml/2006/picture">
            <wp:extent cx="4572000" cy="3657600"/>
            <wp:docPr id="2" name="Picture 2"/>
            <wp:cNvGraphicFramePr>
              <a:graphicFrameLocks noChangeAspect="1"/>
            </wp:cNvGraphicFramePr>
            <a:graphic>
              <a:graphicData uri="http://schemas.openxmlformats.org/drawingml/2006/picture">
                <pic:pic>
                  <pic:nvPicPr>
                    <pic:cNvPr id="0" name="02_duration_leakage.png"/>
                    <pic:cNvPicPr/>
                  </pic:nvPicPr>
                  <pic:blipFill>
                    <a:blip r:embed="rId10"/>
                    <a:stretch>
                      <a:fillRect/>
                    </a:stretch>
                  </pic:blipFill>
                  <pic:spPr>
                    <a:xfrm>
                      <a:off x="0" y="0"/>
                      <a:ext cx="4572000" cy="3657600"/>
                    </a:xfrm>
                    <a:prstGeom prst="rect"/>
                  </pic:spPr>
                </pic:pic>
              </a:graphicData>
            </a:graphic>
          </wp:inline>
        </w:drawing>
      </w:r>
    </w:p>
    <w:p>
      <w:pPr>
        <w:jc w:val="center"/>
      </w:pPr>
      <w:r>
        <w:rPr>
          <w:i/>
          <w:sz w:val="18"/>
        </w:rPr>
        <w:t>Figure 2: Call duration by outcome -- the leakage signal.</w:t>
      </w:r>
    </w:p>
    <w:p>
      <w:pPr>
        <w:jc w:val="center"/>
      </w:pPr>
      <w:r>
        <w:drawing>
          <wp:inline xmlns:a="http://schemas.openxmlformats.org/drawingml/2006/main" xmlns:pic="http://schemas.openxmlformats.org/drawingml/2006/picture">
            <wp:extent cx="4572000" cy="3657600"/>
            <wp:docPr id="3" name="Picture 3"/>
            <wp:cNvGraphicFramePr>
              <a:graphicFrameLocks noChangeAspect="1"/>
            </wp:cNvGraphicFramePr>
            <a:graphic>
              <a:graphicData uri="http://schemas.openxmlformats.org/drawingml/2006/picture">
                <pic:pic>
                  <pic:nvPicPr>
                    <pic:cNvPr id="0" name="03_age_distribution.png"/>
                    <pic:cNvPicPr/>
                  </pic:nvPicPr>
                  <pic:blipFill>
                    <a:blip r:embed="rId11"/>
                    <a:stretch>
                      <a:fillRect/>
                    </a:stretch>
                  </pic:blipFill>
                  <pic:spPr>
                    <a:xfrm>
                      <a:off x="0" y="0"/>
                      <a:ext cx="4572000" cy="3657600"/>
                    </a:xfrm>
                    <a:prstGeom prst="rect"/>
                  </pic:spPr>
                </pic:pic>
              </a:graphicData>
            </a:graphic>
          </wp:inline>
        </w:drawing>
      </w:r>
    </w:p>
    <w:p>
      <w:pPr>
        <w:jc w:val="center"/>
      </w:pPr>
      <w:r>
        <w:rPr>
          <w:i/>
          <w:sz w:val="18"/>
        </w:rPr>
        <w:t>Figure 3: Age distribution of contacted prospects.</w:t>
      </w:r>
    </w:p>
    <w:p>
      <w:pPr>
        <w:jc w:val="center"/>
      </w:pPr>
      <w:r>
        <w:drawing>
          <wp:inline xmlns:a="http://schemas.openxmlformats.org/drawingml/2006/main" xmlns:pic="http://schemas.openxmlformats.org/drawingml/2006/picture">
            <wp:extent cx="4572000" cy="3810000"/>
            <wp:docPr id="4" name="Picture 4"/>
            <wp:cNvGraphicFramePr>
              <a:graphicFrameLocks noChangeAspect="1"/>
            </wp:cNvGraphicFramePr>
            <a:graphic>
              <a:graphicData uri="http://schemas.openxmlformats.org/drawingml/2006/picture">
                <pic:pic>
                  <pic:nvPicPr>
                    <pic:cNvPr id="0" name="04_job_conversion.png"/>
                    <pic:cNvPicPr/>
                  </pic:nvPicPr>
                  <pic:blipFill>
                    <a:blip r:embed="rId12"/>
                    <a:stretch>
                      <a:fillRect/>
                    </a:stretch>
                  </pic:blipFill>
                  <pic:spPr>
                    <a:xfrm>
                      <a:off x="0" y="0"/>
                      <a:ext cx="4572000" cy="3810000"/>
                    </a:xfrm>
                    <a:prstGeom prst="rect"/>
                  </pic:spPr>
                </pic:pic>
              </a:graphicData>
            </a:graphic>
          </wp:inline>
        </w:drawing>
      </w:r>
    </w:p>
    <w:p>
      <w:pPr>
        <w:jc w:val="center"/>
      </w:pPr>
      <w:r>
        <w:rPr>
          <w:i/>
          <w:sz w:val="18"/>
        </w:rPr>
        <w:t>Figure 4: Conversion rate by job category.</w:t>
      </w:r>
    </w:p>
    <w:p>
      <w:pPr>
        <w:jc w:val="center"/>
      </w:pPr>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05_macro_trend.png"/>
                    <pic:cNvPicPr/>
                  </pic:nvPicPr>
                  <pic:blipFill>
                    <a:blip r:embed="rId13"/>
                    <a:stretch>
                      <a:fillRect/>
                    </a:stretch>
                  </pic:blipFill>
                  <pic:spPr>
                    <a:xfrm>
                      <a:off x="0" y="0"/>
                      <a:ext cx="4572000" cy="3048000"/>
                    </a:xfrm>
                    <a:prstGeom prst="rect"/>
                  </pic:spPr>
                </pic:pic>
              </a:graphicData>
            </a:graphic>
          </wp:inline>
        </w:drawing>
      </w:r>
    </w:p>
    <w:p>
      <w:pPr>
        <w:jc w:val="center"/>
      </w:pPr>
      <w:r>
        <w:rPr>
          <w:i/>
          <w:sz w:val="18"/>
        </w:rPr>
        <w:t>Figure 5: euribor3m across the campaign period (concept drift).</w:t>
      </w:r>
    </w:p>
    <w:p>
      <w:pPr>
        <w:jc w:val="center"/>
      </w:pP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06_pdays_sentinel.png"/>
                    <pic:cNvPicPr/>
                  </pic:nvPicPr>
                  <pic:blipFill>
                    <a:blip r:embed="rId14"/>
                    <a:stretch>
                      <a:fillRect/>
                    </a:stretch>
                  </pic:blipFill>
                  <pic:spPr>
                    <a:xfrm>
                      <a:off x="0" y="0"/>
                      <a:ext cx="4572000" cy="4572000"/>
                    </a:xfrm>
                    <a:prstGeom prst="rect"/>
                  </pic:spPr>
                </pic:pic>
              </a:graphicData>
            </a:graphic>
          </wp:inline>
        </w:drawing>
      </w:r>
    </w:p>
    <w:p>
      <w:pPr>
        <w:jc w:val="center"/>
      </w:pPr>
      <w:r>
        <w:rPr>
          <w:i/>
          <w:sz w:val="18"/>
        </w:rPr>
        <w:t>Figure 6: Share of prospects never previously contacted.</w:t>
      </w:r>
    </w:p>
    <w:p>
      <w:pPr>
        <w:pStyle w:val="Heading1"/>
      </w:pPr>
      <w:r>
        <w:t>4. Data Preprocessing Steps</w:t>
      </w:r>
    </w:p>
    <w:p>
      <w:r>
        <w:t>All preprocessing runs inside a single scikit-learn Pipeline, fit only on the TRAIN split, so the identical transformation applies at serving time to raw user input -- there is no separate 'notebook preprocessing' step that could drift out of sync with the deployed app.</w:t>
      </w:r>
    </w:p>
    <w:p>
      <w:pPr>
        <w:pStyle w:val="ListBullet"/>
      </w:pPr>
      <w:r>
        <w:t>Missing-value handling: 'unknown' is kept as its own category (not imputed) since a client declining to state a field is itself informative; pdays' 999 sentinel is converted to a never_contacted_before flag and the raw value is set to NaN, then median-imputed.</w:t>
      </w:r>
    </w:p>
    <w:p>
      <w:pPr>
        <w:pStyle w:val="ListBullet"/>
      </w:pPr>
      <w:r>
        <w:t>Categorical encoding: OneHotEncoder with handle_unknown='infrequent_if_exist' and min_frequency=20, so a category never seen during training degrades gracefully instead of crashing the app.</w:t>
      </w:r>
    </w:p>
    <w:p>
      <w:pPr>
        <w:pStyle w:val="ListBullet"/>
      </w:pPr>
      <w:r>
        <w:t>Feature scaling: numeric features are standardised for LogisticRegression (which needs it) and left unscaled for HistGradientBoosting (which doesn't).</w:t>
      </w:r>
    </w:p>
    <w:p>
      <w:pPr>
        <w:pStyle w:val="ListBullet"/>
      </w:pPr>
      <w:r>
        <w:t>Feature engineering: never_contacted_before (from the pdays sentinel), n_unknown_fields (count of 'unknown' across six columns -- how many fields a client declined to state), and contact_intensity = campaign / (previous + 1) (separates hammering a cold prospect from following up a warm one).</w:t>
      </w:r>
    </w:p>
    <w:p>
      <w:pPr>
        <w:pStyle w:val="ListBullet"/>
      </w:pPr>
      <w:r>
        <w:t>Train/test splitting: chronological 70/15/15 by row order, with every boundary snapped to a calendar-month edge -- a plain positional split would put one month's macro-economic conditions on both sides of a boundary, since those features are constant within a month.</w:t>
      </w:r>
    </w:p>
    <w:p>
      <w:pPr>
        <w:pStyle w:val="ListBullet"/>
      </w:pPr>
      <w:r>
        <w:t>Leakage prevention: 'duration' is dropped immediately after loading and guarded a second time inside the feature pipeline, which raises an error if it is ever reintroduced -- enforced by an automated test, not just a code comment.</w:t>
      </w:r>
    </w:p>
    <w:p>
      <w:r>
        <w:t>Leakage was quantified, not just asserted: a lightweight logistic regression trained with duration included reaches ROC-AUC 0.8492 on validation, versus 0.5969 without it -- a 0.2523 lift purely from a feature that cannot exist at prediction time.</w:t>
      </w:r>
    </w:p>
    <w:p>
      <w:pPr>
        <w:pStyle w:val="Heading1"/>
      </w:pPr>
      <w:r>
        <w:t>5. Models Trained and Performance Comparison</w:t>
      </w:r>
    </w:p>
    <w:p>
      <w:r>
        <w:t>Two models were trained and compared, as required: LogisticRegression (C=1.0, class_weight='balanced', scaled numeric features) and HistGradientBoostingClassifier (learning_rate=0.06, max_iter=400, max_leaf_nodes=31, early_stopping=True, unscaled numeric features).</w:t>
      </w:r>
    </w:p>
    <w:p>
      <w:r>
        <w:t>Selection metric: average_precision (PR-AUC), not accuracy or plain ROC-AUC. With only ~11% positive examples, a model that predicts 'no' for everyone already scores ~89% accuracy, so accuracy cannot distinguish a useful model from a useless one. PR-AUC focuses specifically on ranking quality for the rare positive class, which is what this business problem actually needs. ROC-AUC and accuracy are still reported for completeness and to make this exact point concrete.</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logistic_regression</w:t>
            </w:r>
          </w:p>
        </w:tc>
        <w:tc>
          <w:tcPr>
            <w:tcW w:type="dxa" w:w="4320"/>
          </w:tcPr>
          <w:p>
            <w:r>
              <w:t>AP 0.1778, ROC-AUC 0.6050</w:t>
            </w:r>
          </w:p>
        </w:tc>
      </w:tr>
      <w:tr>
        <w:tc>
          <w:tcPr>
            <w:tcW w:type="dxa" w:w="4320"/>
          </w:tcPr>
          <w:p>
            <w:r>
              <w:t>hist_gradient_boosting</w:t>
            </w:r>
          </w:p>
        </w:tc>
        <w:tc>
          <w:tcPr>
            <w:tcW w:type="dxa" w:w="4320"/>
          </w:tcPr>
          <w:p>
            <w:r>
              <w:t>AP 0.1159, ROC-AUC 0.4995</w:t>
            </w:r>
          </w:p>
        </w:tc>
      </w:tr>
      <w:tr>
        <w:tc>
          <w:tcPr>
            <w:tcW w:type="dxa" w:w="4320"/>
          </w:tcPr>
          <w:p>
            <w:r>
              <w:t>Winner (by validation AP)</w:t>
            </w:r>
          </w:p>
        </w:tc>
        <w:tc>
          <w:tcPr>
            <w:tcW w:type="dxa" w:w="4320"/>
          </w:tcPr>
          <w:p>
            <w:r>
              <w:t>logistic_regression</w:t>
            </w:r>
          </w:p>
        </w:tc>
      </w:tr>
      <w:tr>
        <w:tc>
          <w:tcPr>
            <w:tcW w:type="dxa" w:w="4320"/>
          </w:tcPr>
          <w:p>
            <w:r>
              <w:t>Test set (opened once, after model selection)</w:t>
            </w:r>
          </w:p>
        </w:tc>
        <w:tc>
          <w:tcPr>
            <w:tcW w:type="dxa" w:w="4320"/>
          </w:tcPr>
          <w:p>
            <w:r>
              <w:t>AP 0.4750, ROC-AUC 0.5240, precision 0.4450, recall 1.0000</w:t>
            </w:r>
          </w:p>
        </w:tc>
      </w:tr>
      <w:tr>
        <w:tc>
          <w:tcPr>
            <w:tcW w:type="dxa" w:w="4320"/>
          </w:tcPr>
          <w:p>
            <w:r>
              <w:t>Accuracy (reported last, deliberately)</w:t>
            </w:r>
          </w:p>
        </w:tc>
        <w:tc>
          <w:tcPr>
            <w:tcW w:type="dxa" w:w="4320"/>
          </w:tcPr>
          <w:p>
            <w:r>
              <w:t>0.4450 vs majority-class baseline 0.5550</w:t>
            </w:r>
          </w:p>
        </w:tc>
      </w:tr>
    </w:tbl>
    <w:p>
      <w:r>
        <w:t>Important, investigated finding: test ROC-AUC (0.5240) is well below the naive expectation of ~0.78-0.81 for this dataset. This was not accepted at face value -- it was root-caused. The real UCI file's row volume is heavily front-loaded: 2008 alone accounts for roughly two-thirds of all 41,188 rows, so a 70%-by-row-count chronological split trains almost entirely on pre-crisis 2008 data and evaluates on data reaching into late 2010, a genuinely different economic regime (this is the same 2008 financial crisis / euribor collapse visible in Figure 5). Confirming evidence: the from-scratch drift monitor (Section 6, drift verdict: RETRAIN RECOMMENDED) independently flags this exact train/test boundary via a completely different method (population stability index and Jensen-Shannon divergence, not model error), and a minimal baseline pipeline with none of this project's custom feature engineering hits the same ceiling. This is treated as a genuine property of a strict chronological split on this dataset, not an implementation bug -- see the full investigation in docs/RUNBOOK.md.</w:t>
      </w:r>
    </w:p>
    <w:p>
      <w:pPr>
        <w:pStyle w:val="Heading1"/>
      </w:pPr>
      <w:r>
        <w:t>6. Justification for the Selected Model</w:t>
      </w:r>
    </w:p>
    <w:p>
      <w:r>
        <w:t>logistic_regression was selected because it achieved the higher validation average_precision of the two candidates. Beyond the metric, logistic regression is the model a bank's model-risk function will actually approve for a regulated lending-adjacent decision -- it is linear, its coefficients are directly interpretable (Section 5's driver tables show signed coefficient x standardised-value contributions), and it sets an honest floor that a more complex model would need to beat by a wide margin to justify its added opacity. HistGradientBoosting was included specifically because it is roughly an order of magnitude smaller on disk than an equivalent RandomForest, which matters against the Hugging Face free-tier 10 MB non-LFS file limit -- but here it did not outperform logistic regression, so the simpler, more explainable model is both the empirical and the practical choice.</w:t>
      </w:r>
    </w:p>
    <w:p>
      <w:r>
        <w:t>The model is also calibrated (isotonic regression via scikit-learn's FrozenEstimator, fit on the validation split without refitting the base classifier) and paired with a cost-optimal decision threshold -- not 0.5 -- found by a 201-point grid search over expected net value using the cost matrix in Section 1. This is what lets the app show 'expected value of this call: +X.XX EUR' rather than a bare probability.</w:t>
      </w:r>
    </w:p>
    <w:p>
      <w:pPr>
        <w:pStyle w:val="Heading1"/>
      </w:pPr>
      <w:r>
        <w:t>7. Screenshots of the Working Application</w:t>
      </w:r>
    </w:p>
    <w:p>
      <w:r>
        <w:t>Both a Gradio app (app.py, the Hugging Face Space entrypoint) and a Streamlit app (streamlit_app.py, for local development per Tasks 2.1/2.2) were built. Both import scoring logic from exactly one shared module (src/inference/predict.py) so the two front-ends cannot disagree. Screenshots below are from the Gradio app running locally against the real trained model.</w:t>
      </w:r>
    </w:p>
    <w:p>
      <w:pPr>
        <w:jc w:val="center"/>
      </w:pPr>
      <w:r>
        <w:drawing>
          <wp:inline xmlns:a="http://schemas.openxmlformats.org/drawingml/2006/main" xmlns:pic="http://schemas.openxmlformats.org/drawingml/2006/picture">
            <wp:extent cx="5486400" cy="6000750"/>
            <wp:docPr id="7" name="Picture 7"/>
            <wp:cNvGraphicFramePr>
              <a:graphicFrameLocks noChangeAspect="1"/>
            </wp:cNvGraphicFramePr>
            <a:graphic>
              <a:graphicData uri="http://schemas.openxmlformats.org/drawingml/2006/picture">
                <pic:pic>
                  <pic:nvPicPr>
                    <pic:cNvPr id="0" name="01-app-single-prospect-form.png"/>
                    <pic:cNvPicPr/>
                  </pic:nvPicPr>
                  <pic:blipFill>
                    <a:blip r:embed="rId15"/>
                    <a:stretch>
                      <a:fillRect/>
                    </a:stretch>
                  </pic:blipFill>
                  <pic:spPr>
                    <a:xfrm>
                      <a:off x="0" y="0"/>
                      <a:ext cx="5486400" cy="6000750"/>
                    </a:xfrm>
                    <a:prstGeom prst="rect"/>
                  </pic:spPr>
                </pic:pic>
              </a:graphicData>
            </a:graphic>
          </wp:inline>
        </w:drawing>
      </w:r>
    </w:p>
    <w:p>
      <w:pPr>
        <w:jc w:val="center"/>
      </w:pPr>
      <w:r>
        <w:rPr>
          <w:i/>
          <w:sz w:val="18"/>
        </w:rPr>
        <w:t>Screenshot 1: Score a prospect -- input form with all 19 fields.</w:t>
      </w:r>
    </w:p>
    <w:p>
      <w:pPr>
        <w:jc w:val="center"/>
      </w:pPr>
      <w:r>
        <w:drawing>
          <wp:inline xmlns:a="http://schemas.openxmlformats.org/drawingml/2006/main" xmlns:pic="http://schemas.openxmlformats.org/drawingml/2006/picture">
            <wp:extent cx="5486400" cy="7072312"/>
            <wp:docPr id="8" name="Picture 8"/>
            <wp:cNvGraphicFramePr>
              <a:graphicFrameLocks noChangeAspect="1"/>
            </wp:cNvGraphicFramePr>
            <a:graphic>
              <a:graphicData uri="http://schemas.openxmlformats.org/drawingml/2006/picture">
                <pic:pic>
                  <pic:nvPicPr>
                    <pic:cNvPr id="0" name="02-app-verdict-and-drivers.png"/>
                    <pic:cNvPicPr/>
                  </pic:nvPicPr>
                  <pic:blipFill>
                    <a:blip r:embed="rId16"/>
                    <a:stretch>
                      <a:fillRect/>
                    </a:stretch>
                  </pic:blipFill>
                  <pic:spPr>
                    <a:xfrm>
                      <a:off x="0" y="0"/>
                      <a:ext cx="5486400" cy="7072312"/>
                    </a:xfrm>
                    <a:prstGeom prst="rect"/>
                  </pic:spPr>
                </pic:pic>
              </a:graphicData>
            </a:graphic>
          </wp:inline>
        </w:drawing>
      </w:r>
    </w:p>
    <w:p>
      <w:pPr>
        <w:jc w:val="center"/>
      </w:pPr>
      <w:r>
        <w:rPr>
          <w:i/>
          <w:sz w:val="18"/>
        </w:rPr>
        <w:t>Screenshot 2: Verdict panel (probability, cutoff marker, expected EUR value) and the drivers table for a scored prospect.</w:t>
      </w:r>
    </w:p>
    <w:p>
      <w:pPr>
        <w:jc w:val="center"/>
      </w:pPr>
      <w:r>
        <w:drawing>
          <wp:inline xmlns:a="http://schemas.openxmlformats.org/drawingml/2006/main" xmlns:pic="http://schemas.openxmlformats.org/drawingml/2006/picture">
            <wp:extent cx="5486400" cy="6000750"/>
            <wp:docPr id="9" name="Picture 9"/>
            <wp:cNvGraphicFramePr>
              <a:graphicFrameLocks noChangeAspect="1"/>
            </wp:cNvGraphicFramePr>
            <a:graphic>
              <a:graphicData uri="http://schemas.openxmlformats.org/drawingml/2006/picture">
                <pic:pic>
                  <pic:nvPicPr>
                    <pic:cNvPr id="0" name="03-app-batch.png"/>
                    <pic:cNvPicPr/>
                  </pic:nvPicPr>
                  <pic:blipFill>
                    <a:blip r:embed="rId17"/>
                    <a:stretch>
                      <a:fillRect/>
                    </a:stretch>
                  </pic:blipFill>
                  <pic:spPr>
                    <a:xfrm>
                      <a:off x="0" y="0"/>
                      <a:ext cx="5486400" cy="6000750"/>
                    </a:xfrm>
                    <a:prstGeom prst="rect"/>
                  </pic:spPr>
                </pic:pic>
              </a:graphicData>
            </a:graphic>
          </wp:inline>
        </w:drawing>
      </w:r>
    </w:p>
    <w:p>
      <w:pPr>
        <w:jc w:val="center"/>
      </w:pPr>
      <w:r>
        <w:rPr>
          <w:i/>
          <w:sz w:val="18"/>
        </w:rPr>
        <w:t>Screenshot 3: Batch scoring -- a real 25-row CSV uploaded, scored, and available for download, with a summary of the result.</w:t>
      </w:r>
    </w:p>
    <w:p>
      <w:pPr>
        <w:jc w:val="center"/>
      </w:pPr>
      <w:r>
        <w:drawing>
          <wp:inline xmlns:a="http://schemas.openxmlformats.org/drawingml/2006/main" xmlns:pic="http://schemas.openxmlformats.org/drawingml/2006/picture">
            <wp:extent cx="5486400" cy="6000750"/>
            <wp:docPr id="10" name="Picture 10"/>
            <wp:cNvGraphicFramePr>
              <a:graphicFrameLocks noChangeAspect="1"/>
            </wp:cNvGraphicFramePr>
            <a:graphic>
              <a:graphicData uri="http://schemas.openxmlformats.org/drawingml/2006/picture">
                <pic:pic>
                  <pic:nvPicPr>
                    <pic:cNvPr id="0" name="04-app-modelcard.png"/>
                    <pic:cNvPicPr/>
                  </pic:nvPicPr>
                  <pic:blipFill>
                    <a:blip r:embed="rId18"/>
                    <a:stretch>
                      <a:fillRect/>
                    </a:stretch>
                  </pic:blipFill>
                  <pic:spPr>
                    <a:xfrm>
                      <a:off x="0" y="0"/>
                      <a:ext cx="5486400" cy="6000750"/>
                    </a:xfrm>
                    <a:prstGeom prst="rect"/>
                  </pic:spPr>
                </pic:pic>
              </a:graphicData>
            </a:graphic>
          </wp:inline>
        </w:drawing>
      </w:r>
    </w:p>
    <w:p>
      <w:pPr>
        <w:jc w:val="center"/>
      </w:pPr>
      <w:r>
        <w:rPr>
          <w:i/>
          <w:sz w:val="18"/>
        </w:rPr>
        <w:t>Screenshot 4: Model card &amp; monitoring tab -- live metrics, threshold economics, model comparison, and drift verdict, read directly from artifacts/metrics.json and artifacts/drift.json.</w:t>
      </w:r>
    </w:p>
    <w:p>
      <w:pPr>
        <w:pStyle w:val="Heading1"/>
      </w:pPr>
      <w:r>
        <w:t>8. GitHub Repository Structure</w:t>
      </w:r>
    </w:p>
    <w:p>
      <w:r>
        <w:t>The repository separates the runtime payload (src/, app.py, requirements.txt, artifacts/) from everything the deployed Space should never receive (tests/, benchmarks/, scripts/, requirements-dev.txt, reports/, docs/) -- deploy.yml (Section 9) assembles only the former.</w:t>
      </w:r>
    </w:p>
    <w:p>
      <w:r>
        <w:rPr>
          <w:rFonts w:ascii="Courier New" w:hAnsi="Courier New"/>
          <w:sz w:val="16"/>
        </w:rPr>
        <w:t>bank-conversion-copilot/</w:t>
        <w:br/>
        <w:t>|-- app.py                      # Gradio Blocks app -- HF Space entrypoint</w:t>
        <w:br/>
        <w:t>|-- streamlit_app.py            # Streamlit app -- local development</w:t>
        <w:br/>
        <w:t>|-- requirements.txt            # runtime deps (sklearn pinned exactly)</w:t>
        <w:br/>
        <w:t>|-- requirements-dev.txt        # + streamlit, pytest, ruff, mypy, ...</w:t>
        <w:br/>
        <w:t>|-- pyproject.toml               # ruff / mypy / pytest config</w:t>
        <w:br/>
        <w:t>|-- Makefile                    # install/train/test/lint/app/eda/bench/report</w:t>
        <w:br/>
        <w:t>|-- src/</w:t>
        <w:br/>
        <w:t>|   |-- config.py               # single source of truth: schema, cost matrix</w:t>
        <w:br/>
        <w:t>|   |-- data/loader.py          # load, validate, audit, temporal split</w:t>
        <w:br/>
        <w:t>|   |-- features/pipeline.py    # engineered features + leakage guard</w:t>
        <w:br/>
        <w:t>|   |-- models/train.py         # fit, select, calibrate, threshold, save</w:t>
        <w:br/>
        <w:t>|   |-- models/threshold.py     # cost-optimal + capacity-constrained threshold</w:t>
        <w:br/>
        <w:t>|   |-- models/evaluate.py      # metrics, reliability curve, ECE</w:t>
        <w:br/>
        <w:t>|   |-- monitor/drift.py        # PSI + Jensen-Shannon, pure numpy</w:t>
        <w:br/>
        <w:t>|   |-- inference/predict.py    # shared serving layer (both UIs import only this)</w:t>
        <w:br/>
        <w:t>|   |-- explain/shap_engine.py  # 3-stage degrading explainer</w:t>
        <w:br/>
        <w:t>|   `-- ui/theme.py             # shared design tokens + CSS + HTML fragments</w:t>
        <w:br/>
        <w:t>|-- tests/                      # 56 tests, offline synthetic fixture</w:t>
        <w:br/>
        <w:t>|-- scripts/                    # EDA, leakage demo, report generator</w:t>
        <w:br/>
        <w:t>|-- benchmarks/latency.py       # latency / throughput / cold-start / memory</w:t>
        <w:br/>
        <w:t>|-- .github/workflows/</w:t>
        <w:br/>
        <w:t>|   |-- ci.yml                  # lint + pytest matrix + smoke-train</w:t>
        <w:br/>
        <w:t>|   |-- deploy.yml              # assemble payload -&gt; hf upload</w:t>
        <w:br/>
        <w:t>|   `-- file-size-guard.yml     # fails PRs that add &gt;10MB non-LFS files</w:t>
        <w:br/>
        <w:t>|-- space/README.md             # HF Space card (yaml frontmatter)</w:t>
        <w:br/>
        <w:t>|-- docs/                       # ADR, runbook, presentation outline</w:t>
        <w:br/>
        <w:t>`-- artifacts/                  # model.joblib, metrics.json, model_card.md, drift.json</w:t>
        <w:br/>
      </w:r>
    </w:p>
    <w:p>
      <w:pPr>
        <w:jc w:val="center"/>
      </w:pPr>
      <w:r>
        <w:drawing>
          <wp:inline xmlns:a="http://schemas.openxmlformats.org/drawingml/2006/main" xmlns:pic="http://schemas.openxmlformats.org/drawingml/2006/picture">
            <wp:extent cx="5486400" cy="4310743"/>
            <wp:docPr id="11" name="Picture 11"/>
            <wp:cNvGraphicFramePr>
              <a:graphicFrameLocks noChangeAspect="1"/>
            </wp:cNvGraphicFramePr>
            <a:graphic>
              <a:graphicData uri="http://schemas.openxmlformats.org/drawingml/2006/picture">
                <pic:pic>
                  <pic:nvPicPr>
                    <pic:cNvPr id="0" name="09-repo-structure.png"/>
                    <pic:cNvPicPr/>
                  </pic:nvPicPr>
                  <pic:blipFill>
                    <a:blip r:embed="rId19"/>
                    <a:stretch>
                      <a:fillRect/>
                    </a:stretch>
                  </pic:blipFill>
                  <pic:spPr>
                    <a:xfrm>
                      <a:off x="0" y="0"/>
                      <a:ext cx="5486400" cy="4310743"/>
                    </a:xfrm>
                    <a:prstGeom prst="rect"/>
                  </pic:spPr>
                </pic:pic>
              </a:graphicData>
            </a:graphic>
          </wp:inline>
        </w:drawing>
      </w:r>
    </w:p>
    <w:p>
      <w:pPr>
        <w:jc w:val="center"/>
      </w:pPr>
      <w:r>
        <w:rPr>
          <w:i/>
          <w:sz w:val="18"/>
        </w:rPr>
        <w:t>Screenshot 5: The repository as it appears on GitHub.</w:t>
      </w:r>
    </w:p>
    <w:p>
      <w:pPr>
        <w:pStyle w:val="Heading1"/>
      </w:pPr>
      <w:r>
        <w:t>9. Explanation of the GitHub Actions Workflow</w:t>
      </w:r>
    </w:p>
    <w:p>
      <w:r>
        <w:t>Three workflows run under .github/workflows/:</w:t>
      </w:r>
    </w:p>
    <w:p>
      <w:pPr>
        <w:pStyle w:val="ListBullet"/>
      </w:pPr>
      <w:r>
        <w:t>ci.yml -- runs on every push and pull request to main. Lints with ruff, type-checks with mypy (advisory), and runs the full pytest suite on a matrix of Python 3.11 and 3.12. A second job, smoke-train, trains the full pipeline end-to-end against the synthetic offline fixture (no network needed) to prove the training code itself is not broken, independent of whether the real dataset is reachable.</w:t>
      </w:r>
    </w:p>
    <w:p>
      <w:pPr>
        <w:pStyle w:val="ListBullet"/>
      </w:pPr>
      <w:r>
        <w:t>deploy.yml -- runs on every push to main (except doc-only changes). It first fails fast, before touching Hugging Face at all, if artifacts/model.joblib is missing. It then assembles a minimal deploy/ payload (app.py, requirements.txt, src/, artifacts/, the Space README) -- deliberately not a mirror of the whole repo, since a Space rebuild reinstalls every dependency it can see and free-tier build minutes are limited. It authenticates using the HF_TOKEN GitHub secret (never hard-coded, never printed to a log) and uploads the payload via the huggingface_hub CLI.</w:t>
      </w:r>
    </w:p>
    <w:p>
      <w:pPr>
        <w:pStyle w:val="ListBullet"/>
      </w:pPr>
      <w:r>
        <w:t>file-size-guard.yml -- runs on pull requests and fails the PR if any file added or changed is over 10 MB and not tracked by Git LFS, since Hugging Face Spaces require LFS for files that size.</w:t>
      </w:r>
    </w:p>
    <w:p>
      <w:pPr>
        <w:pStyle w:val="Heading1"/>
      </w:pPr>
      <w:r>
        <w:t>10. Screenshot of a Successful Workflow Execution</w:t>
      </w:r>
    </w:p>
    <w:p>
      <w:pPr>
        <w:jc w:val="center"/>
      </w:pPr>
      <w:r>
        <w:drawing>
          <wp:inline xmlns:a="http://schemas.openxmlformats.org/drawingml/2006/main" xmlns:pic="http://schemas.openxmlformats.org/drawingml/2006/picture">
            <wp:extent cx="5486400" cy="3918857"/>
            <wp:docPr id="12" name="Picture 12"/>
            <wp:cNvGraphicFramePr>
              <a:graphicFrameLocks noChangeAspect="1"/>
            </wp:cNvGraphicFramePr>
            <a:graphic>
              <a:graphicData uri="http://schemas.openxmlformats.org/drawingml/2006/picture">
                <pic:pic>
                  <pic:nvPicPr>
                    <pic:cNvPr id="0" name="05-actions-run-overview.png"/>
                    <pic:cNvPicPr/>
                  </pic:nvPicPr>
                  <pic:blipFill>
                    <a:blip r:embed="rId20"/>
                    <a:stretch>
                      <a:fillRect/>
                    </a:stretch>
                  </pic:blipFill>
                  <pic:spPr>
                    <a:xfrm>
                      <a:off x="0" y="0"/>
                      <a:ext cx="5486400" cy="3918857"/>
                    </a:xfrm>
                    <a:prstGeom prst="rect"/>
                  </pic:spPr>
                </pic:pic>
              </a:graphicData>
            </a:graphic>
          </wp:inline>
        </w:drawing>
      </w:r>
    </w:p>
    <w:p>
      <w:pPr>
        <w:jc w:val="center"/>
      </w:pPr>
      <w:r>
        <w:rPr>
          <w:i/>
          <w:sz w:val="18"/>
        </w:rPr>
        <w:t>Screenshot 6: A successful CI run -- all three jobs (lint-and-test x2, smoke-train) green.</w:t>
      </w:r>
    </w:p>
    <w:p>
      <w:pPr>
        <w:jc w:val="center"/>
      </w:pPr>
      <w:r>
        <w:drawing>
          <wp:inline xmlns:a="http://schemas.openxmlformats.org/drawingml/2006/main" xmlns:pic="http://schemas.openxmlformats.org/drawingml/2006/picture">
            <wp:extent cx="5486400" cy="3918857"/>
            <wp:docPr id="13" name="Picture 13"/>
            <wp:cNvGraphicFramePr>
              <a:graphicFrameLocks noChangeAspect="1"/>
            </wp:cNvGraphicFramePr>
            <a:graphic>
              <a:graphicData uri="http://schemas.openxmlformats.org/drawingml/2006/picture">
                <pic:pic>
                  <pic:nvPicPr>
                    <pic:cNvPr id="0" name="06-actions-job-detail.png"/>
                    <pic:cNvPicPr/>
                  </pic:nvPicPr>
                  <pic:blipFill>
                    <a:blip r:embed="rId21"/>
                    <a:stretch>
                      <a:fillRect/>
                    </a:stretch>
                  </pic:blipFill>
                  <pic:spPr>
                    <a:xfrm>
                      <a:off x="0" y="0"/>
                      <a:ext cx="5486400" cy="3918857"/>
                    </a:xfrm>
                    <a:prstGeom prst="rect"/>
                  </pic:spPr>
                </pic:pic>
              </a:graphicData>
            </a:graphic>
          </wp:inline>
        </w:drawing>
      </w:r>
    </w:p>
    <w:p>
      <w:pPr>
        <w:jc w:val="center"/>
      </w:pPr>
      <w:r>
        <w:rPr>
          <w:i/>
          <w:sz w:val="18"/>
        </w:rPr>
        <w:t>Screenshot 7: Step-by-step detail of the lint-and-test job -- checkout, dependency install, ruff, mypy, pytest, all passing.</w:t>
      </w:r>
    </w:p>
    <w:p>
      <w:pPr>
        <w:pStyle w:val="Heading1"/>
      </w:pPr>
      <w:r>
        <w:t>11. Screenshot of the Deployed Hugging Face Application</w:t>
      </w:r>
    </w:p>
    <w:p>
      <w:r>
        <w:t>The app is live on Hugging Face Spaces (ZeroGPU hardware, free tier), deployed automatically by deploy.yml. Screenshots below are from the live Space itself -- note the Hugging Face branding chip in the corner confirming this is not a local screenshot.</w:t>
      </w:r>
    </w:p>
    <w:p>
      <w:pPr>
        <w:jc w:val="center"/>
      </w:pPr>
      <w:r>
        <w:drawing>
          <wp:inline xmlns:a="http://schemas.openxmlformats.org/drawingml/2006/main" xmlns:pic="http://schemas.openxmlformats.org/drawingml/2006/picture">
            <wp:extent cx="5486400" cy="5143500"/>
            <wp:docPr id="14" name="Picture 14"/>
            <wp:cNvGraphicFramePr>
              <a:graphicFrameLocks noChangeAspect="1"/>
            </wp:cNvGraphicFramePr>
            <a:graphic>
              <a:graphicData uri="http://schemas.openxmlformats.org/drawingml/2006/picture">
                <pic:pic>
                  <pic:nvPicPr>
                    <pic:cNvPr id="0" name="07-space-live.png"/>
                    <pic:cNvPicPr/>
                  </pic:nvPicPr>
                  <pic:blipFill>
                    <a:blip r:embed="rId22"/>
                    <a:stretch>
                      <a:fillRect/>
                    </a:stretch>
                  </pic:blipFill>
                  <pic:spPr>
                    <a:xfrm>
                      <a:off x="0" y="0"/>
                      <a:ext cx="5486400" cy="5143500"/>
                    </a:xfrm>
                    <a:prstGeom prst="rect"/>
                  </pic:spPr>
                </pic:pic>
              </a:graphicData>
            </a:graphic>
          </wp:inline>
        </w:drawing>
      </w:r>
    </w:p>
    <w:p>
      <w:pPr>
        <w:jc w:val="center"/>
      </w:pPr>
      <w:r>
        <w:rPr>
          <w:i/>
          <w:sz w:val="18"/>
        </w:rPr>
        <w:t>Screenshot 8: The live app on Hugging Face Spaces.</w:t>
      </w:r>
    </w:p>
    <w:p>
      <w:pPr>
        <w:jc w:val="center"/>
      </w:pPr>
      <w:r>
        <w:drawing>
          <wp:inline xmlns:a="http://schemas.openxmlformats.org/drawingml/2006/main" xmlns:pic="http://schemas.openxmlformats.org/drawingml/2006/picture">
            <wp:extent cx="5486400" cy="7929563"/>
            <wp:docPr id="15" name="Picture 15"/>
            <wp:cNvGraphicFramePr>
              <a:graphicFrameLocks noChangeAspect="1"/>
            </wp:cNvGraphicFramePr>
            <a:graphic>
              <a:graphicData uri="http://schemas.openxmlformats.org/drawingml/2006/picture">
                <pic:pic>
                  <pic:nvPicPr>
                    <pic:cNvPr id="0" name="07-space-live-scored.png"/>
                    <pic:cNvPicPr/>
                  </pic:nvPicPr>
                  <pic:blipFill>
                    <a:blip r:embed="rId23"/>
                    <a:stretch>
                      <a:fillRect/>
                    </a:stretch>
                  </pic:blipFill>
                  <pic:spPr>
                    <a:xfrm>
                      <a:off x="0" y="0"/>
                      <a:ext cx="5486400" cy="7929563"/>
                    </a:xfrm>
                    <a:prstGeom prst="rect"/>
                  </pic:spPr>
                </pic:pic>
              </a:graphicData>
            </a:graphic>
          </wp:inline>
        </w:drawing>
      </w:r>
    </w:p>
    <w:p>
      <w:pPr>
        <w:jc w:val="center"/>
      </w:pPr>
      <w:r>
        <w:rPr>
          <w:i/>
          <w:sz w:val="18"/>
        </w:rPr>
        <w:t>Screenshot 9: A real prediction scored live on the deployed Space (not a local screenshot).</w:t>
      </w:r>
    </w:p>
    <w:p>
      <w:pPr>
        <w:pStyle w:val="Heading1"/>
      </w:pPr>
      <w:r>
        <w:t>12. Link to the GitHub Repository</w:t>
      </w:r>
    </w:p>
    <w:p>
      <w:r>
        <w:t>https://github.com/krish2105/bank-conversion-copilot</w:t>
      </w:r>
    </w:p>
    <w:p>
      <w:pPr>
        <w:pStyle w:val="Heading1"/>
      </w:pPr>
      <w:r>
        <w:t>13. Link to the Deployed Hugging Face Space</w:t>
      </w:r>
    </w:p>
    <w:p>
      <w:r>
        <w:t>https://huggingface.co/spaces/krish21may/bank</w:t>
      </w:r>
    </w:p>
    <w:p>
      <w:pPr>
        <w:pStyle w:val="Heading1"/>
      </w:pPr>
      <w:r>
        <w:t>14. How the Automated Deployment Process Works</w:t>
      </w:r>
    </w:p>
    <w:p>
      <w:r>
        <w:t>1. A developer pushes a commit to main (for example, updating src/config.py or retraining the model). 2. GitHub Actions triggers deploy.yml automatically on that push. 3. The workflow checks out the repository and verifies artifacts/model.joblib exists -- if not, it fails immediately with a clear error rather than deploying a broken app. 4. It assembles a deploy/ folder containing only the files the Space needs to run: app.py, requirements.txt, the src/ package, the artifacts/ folder, and space/README.md renamed to README.md. 5. It authenticates to Hugging Face using the HF_TOKEN secret (stored in GitHub, never in code) and uploads deploy/ to the Space repository via the Hugging Face Hub client. 6. Hugging Face detects the change and automatically rebuilds the Space container. 7. The updated app is live at the Space URL within a few minutes, with zero manual file copying. Concurrency is limited to one deploy at a time (concurrency: group: deploy-space) so two pushes in quick succession cannot race each other, and documentation-only changes (docs/**, reports/**, *.md) are excluded from triggering a rebuild, since a Space rebuild is the slowest, most resource-constrained part of the whole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