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Bank Conversion Copilot</w:t>
      </w:r>
    </w:p>
    <w:p>
      <w:pPr>
        <w:jc w:val="center"/>
      </w:pPr>
      <w:r>
        <w:t>Cost-optimised targeting for outbound term-deposit campaigns</w:t>
      </w:r>
    </w:p>
    <w:p>
      <w:pPr>
        <w:jc w:val="center"/>
      </w:pPr>
      <w:r>
        <w:t>SP Jain School of Global Management, Dubai -- Software Development for AI Models, Final Group Project</w:t>
      </w:r>
    </w:p>
    <w:p>
      <w:r>
        <w:br w:type="page"/>
      </w:r>
    </w:p>
    <w:p>
      <w:pPr>
        <w:pStyle w:val="Heading1"/>
      </w:pPr>
      <w:r>
        <w:t>1. Problem Statement &amp; Business Objective</w:t>
      </w:r>
    </w:p>
    <w:p>
      <w:r>
        <w:t>A retail bank's call centre has finite agent hours and roughly an 11% conversion rate on term-deposit telemarketing. Calling every prospect wastes money; calling too few leaves revenue unrealised. The question this project answers is who to phone, not merely who will convert.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Metric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Cost per call (EUR)</w:t>
            </w:r>
          </w:p>
        </w:tc>
        <w:tc>
          <w:tcPr>
            <w:tcW w:type="dxa" w:w="4320"/>
          </w:tcPr>
          <w:p>
            <w:r>
              <w:t>8.0</w:t>
            </w:r>
          </w:p>
        </w:tc>
      </w:tr>
      <w:tr>
        <w:tc>
          <w:tcPr>
            <w:tcW w:type="dxa" w:w="4320"/>
          </w:tcPr>
          <w:p>
            <w:r>
              <w:t>Revenue per subscription (EUR)</w:t>
            </w:r>
          </w:p>
        </w:tc>
        <w:tc>
          <w:tcPr>
            <w:tcW w:type="dxa" w:w="4320"/>
          </w:tcPr>
          <w:p>
            <w:r>
              <w:t>120.0</w:t>
            </w:r>
          </w:p>
        </w:tc>
      </w:tr>
      <w:tr>
        <w:tc>
          <w:tcPr>
            <w:tcW w:type="dxa" w:w="4320"/>
          </w:tcPr>
          <w:p>
            <w:r>
              <w:t>Break-even probability</w:t>
            </w:r>
          </w:p>
        </w:tc>
        <w:tc>
          <w:tcPr>
            <w:tcW w:type="dxa" w:w="4320"/>
          </w:tcPr>
          <w:p>
            <w:r>
              <w:t>0.0667</w:t>
            </w:r>
          </w:p>
        </w:tc>
      </w:tr>
    </w:tbl>
    <w:p>
      <w:pPr>
        <w:pStyle w:val="Heading1"/>
      </w:pPr>
      <w:r>
        <w:t>2. Dataset &amp; Source</w:t>
      </w:r>
    </w:p>
    <w:p>
      <w:r>
        <w:t>UCI Machine Learning Repository, Bank Marketing (dataset id 222), bank-additional-full variant. Moro, S., Cortez, P., &amp; Rita, P. (2014). A data-driven approach to predict the success of bank telemarketing. Decision Support Systems, 62, 22-31.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Metric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Rows</w:t>
            </w:r>
          </w:p>
        </w:tc>
        <w:tc>
          <w:tcPr>
            <w:tcW w:type="dxa" w:w="4320"/>
          </w:tcPr>
          <w:p>
            <w:r>
              <w:t>41188</w:t>
            </w:r>
          </w:p>
        </w:tc>
      </w:tr>
      <w:tr>
        <w:tc>
          <w:tcPr>
            <w:tcW w:type="dxa" w:w="4320"/>
          </w:tcPr>
          <w:p>
            <w:r>
              <w:t>Duplicate rows</w:t>
            </w:r>
          </w:p>
        </w:tc>
        <w:tc>
          <w:tcPr>
            <w:tcW w:type="dxa" w:w="4320"/>
          </w:tcPr>
          <w:p>
            <w:r>
              <w:t>12</w:t>
            </w:r>
          </w:p>
        </w:tc>
      </w:tr>
      <w:tr>
        <w:tc>
          <w:tcPr>
            <w:tcW w:type="dxa" w:w="4320"/>
          </w:tcPr>
          <w:p>
            <w:r>
              <w:t>pdays sentinel share</w:t>
            </w:r>
          </w:p>
        </w:tc>
        <w:tc>
          <w:tcPr>
            <w:tcW w:type="dxa" w:w="4320"/>
          </w:tcPr>
          <w:p>
            <w:r>
              <w:t>96.32%</w:t>
            </w:r>
          </w:p>
        </w:tc>
      </w:tr>
      <w:tr>
        <w:tc>
          <w:tcPr>
            <w:tcW w:type="dxa" w:w="4320"/>
          </w:tcPr>
          <w:p>
            <w:r>
              <w:t>Train / valid / test rows</w:t>
            </w:r>
          </w:p>
        </w:tc>
        <w:tc>
          <w:tcPr>
            <w:tcW w:type="dxa" w:w="4320"/>
          </w:tcPr>
          <w:p>
            <w:r>
              <w:t>27972 / 8252 / 4964</w:t>
            </w:r>
          </w:p>
        </w:tc>
      </w:tr>
    </w:tbl>
    <w:p>
      <w:pPr>
        <w:pStyle w:val="Heading1"/>
      </w:pPr>
      <w:r>
        <w:t>3. EDA &amp; Key Observations</w:t>
      </w:r>
    </w:p>
    <w:p>
      <w:pPr>
        <w:pStyle w:val="ListBullet"/>
      </w:pPr>
      <w:r>
        <w:rPr>
          <w:b/>
        </w:rPr>
        <w:t xml:space="preserve">Target class balance: </w:t>
      </w:r>
      <w:r>
        <w:t>{"positive_rate": 0.052373802373802375}</w:t>
      </w:r>
    </w:p>
    <w:p>
      <w:pPr>
        <w:pStyle w:val="ListBullet"/>
      </w:pPr>
      <w:r>
        <w:rPr>
          <w:b/>
        </w:rPr>
        <w:t xml:space="preserve">Duration by outcome: </w:t>
      </w:r>
      <w:r>
        <w:t>{"median_duration_by_class": {"no": 162.0, "yes": 741.0}}</w:t>
      </w:r>
    </w:p>
    <w:p>
      <w:pPr>
        <w:pStyle w:val="ListBullet"/>
      </w:pPr>
      <w:r>
        <w:rPr>
          <w:b/>
        </w:rPr>
        <w:t xml:space="preserve">Age distribution: </w:t>
      </w:r>
      <w:r>
        <w:t>{"median_age": 39.0}</w:t>
      </w:r>
    </w:p>
    <w:p>
      <w:pPr>
        <w:pStyle w:val="ListBullet"/>
      </w:pPr>
      <w:r>
        <w:rPr>
          <w:b/>
        </w:rPr>
        <w:t xml:space="preserve">Conversion rate by job: </w:t>
      </w:r>
      <w:r>
        <w:t>{"top_job": "student", "bottom_job": "housemaid"}</w:t>
      </w:r>
    </w:p>
    <w:p>
      <w:pPr>
        <w:pStyle w:val="ListBullet"/>
      </w:pPr>
      <w:r>
        <w:rPr>
          <w:b/>
        </w:rPr>
        <w:t xml:space="preserve">euribor3m trend across periods: </w:t>
      </w:r>
      <w:r>
        <w:t>{"min": 1.6462198581560283, "max": 4.964804251207729}</w:t>
      </w:r>
    </w:p>
    <w:p>
      <w:pPr>
        <w:pStyle w:val="ListBullet"/>
      </w:pPr>
      <w:r>
        <w:rPr>
          <w:b/>
        </w:rPr>
        <w:t xml:space="preserve">pdays sentinel share: </w:t>
      </w:r>
      <w:r>
        <w:t>{"never_contacted_share": 0.9986057486057486}</w:t>
      </w:r>
    </w:p>
    <w:p>
      <w:r>
        <w:t>[[ Insert each of the 6 figures from reports/figures/ here, with a 1-2 sentence interpretation of what it shows and why it matters. ]]</w:t>
      </w:r>
    </w:p>
    <w:p>
      <w:pPr>
        <w:pStyle w:val="Heading1"/>
      </w:pPr>
      <w:r>
        <w:t>4. Preprocessing &amp; Feature Engineering</w:t>
      </w:r>
    </w:p>
    <w:p>
      <w:r>
        <w:t>All transformations run inside a single sklearn Pipeline, fit only on TRAIN, so the app scores raw user input through the identical path used in training. Engineered features: never_contacted_before (from the pdays==999 sentinel), n_unknown_fields (count of 'unknown' across six categorical columns), and contact_intensity (campaign / (previous + 1)). Categorical case/whitespace is normalised inside the transformer; unseen categories degrade to an infrequent-category bucket rather than raising.</w:t>
      </w:r>
    </w:p>
    <w:p>
      <w:pPr>
        <w:pStyle w:val="Heading1"/>
      </w:pPr>
      <w:r>
        <w:t>5. Leakage Control</w:t>
      </w:r>
    </w:p>
    <w:p>
      <w:r>
        <w:t>`duration` is documented target leakage: it is only known after a call completes, so a model that needs it cannot be deployed. It is enforced by a denylist in config, a guard inside the feature pipeline that raises if reintroduced, and dedicated tests.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Metric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ROC-AUC without duration</w:t>
            </w:r>
          </w:p>
        </w:tc>
        <w:tc>
          <w:tcPr>
            <w:tcW w:type="dxa" w:w="4320"/>
          </w:tcPr>
          <w:p>
            <w:r>
              <w:t>0.5969</w:t>
            </w:r>
          </w:p>
        </w:tc>
      </w:tr>
      <w:tr>
        <w:tc>
          <w:tcPr>
            <w:tcW w:type="dxa" w:w="4320"/>
          </w:tcPr>
          <w:p>
            <w:r>
              <w:t>ROC-AUC with duration</w:t>
            </w:r>
          </w:p>
        </w:tc>
        <w:tc>
          <w:tcPr>
            <w:tcW w:type="dxa" w:w="4320"/>
          </w:tcPr>
          <w:p>
            <w:r>
              <w:t>0.8492</w:t>
            </w:r>
          </w:p>
        </w:tc>
      </w:tr>
      <w:tr>
        <w:tc>
          <w:tcPr>
            <w:tcW w:type="dxa" w:w="4320"/>
          </w:tcPr>
          <w:p>
            <w:r>
              <w:t>Lift from leakage</w:t>
            </w:r>
          </w:p>
        </w:tc>
        <w:tc>
          <w:tcPr>
            <w:tcW w:type="dxa" w:w="4320"/>
          </w:tcPr>
          <w:p>
            <w:r>
              <w:t>0.2523</w:t>
            </w:r>
          </w:p>
        </w:tc>
      </w:tr>
    </w:tbl>
    <w:p>
      <w:pPr>
        <w:pStyle w:val="Heading1"/>
      </w:pPr>
      <w:r>
        <w:t>6. Model Comparison &amp; Justification</w:t>
      </w:r>
    </w:p>
    <w:p>
      <w:r>
        <w:t>Two candidates, as the brief requires: LogisticRegression (the model a bank's model-risk function will actually approve, setting the floor a complex model must beat) and HistGradientBoosting (chosen over RandomForest because the fitted artefact is roughly an order of magnitude smaller). Selection metric: average_precision (PR-AUC) -- with ~11% positives, ROC-AUC is optimistic and accuracy is actively misleading.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Metric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logistic_regression</w:t>
            </w:r>
          </w:p>
        </w:tc>
        <w:tc>
          <w:tcPr>
            <w:tcW w:type="dxa" w:w="4320"/>
          </w:tcPr>
          <w:p>
            <w:r>
              <w:t>AP 0.1778, ROC-AUC 0.6050</w:t>
            </w:r>
          </w:p>
        </w:tc>
      </w:tr>
      <w:tr>
        <w:tc>
          <w:tcPr>
            <w:tcW w:type="dxa" w:w="4320"/>
          </w:tcPr>
          <w:p>
            <w:r>
              <w:t>hist_gradient_boosting</w:t>
            </w:r>
          </w:p>
        </w:tc>
        <w:tc>
          <w:tcPr>
            <w:tcW w:type="dxa" w:w="4320"/>
          </w:tcPr>
          <w:p>
            <w:r>
              <w:t>AP 0.1159, ROC-AUC 0.4995</w:t>
            </w:r>
          </w:p>
        </w:tc>
      </w:tr>
      <w:tr>
        <w:tc>
          <w:tcPr>
            <w:tcW w:type="dxa" w:w="4320"/>
          </w:tcPr>
          <w:p>
            <w:r>
              <w:t>Winner</w:t>
            </w:r>
          </w:p>
        </w:tc>
        <w:tc>
          <w:tcPr>
            <w:tcW w:type="dxa" w:w="4320"/>
          </w:tcPr>
          <w:p>
            <w:r>
              <w:t>logistic_regression</w:t>
            </w:r>
          </w:p>
        </w:tc>
      </w:tr>
      <w:tr>
        <w:tc>
          <w:tcPr>
            <w:tcW w:type="dxa" w:w="4320"/>
          </w:tcPr>
          <w:p>
            <w:r>
              <w:t>Test set (opened once)</w:t>
            </w:r>
          </w:p>
        </w:tc>
        <w:tc>
          <w:tcPr>
            <w:tcW w:type="dxa" w:w="4320"/>
          </w:tcPr>
          <w:p>
            <w:r>
              <w:t>AP 0.4750, ROC-AUC 0.5240, precision 0.4450, recall 1.0000</w:t>
            </w:r>
          </w:p>
        </w:tc>
      </w:tr>
      <w:tr>
        <w:tc>
          <w:tcPr>
            <w:tcW w:type="dxa" w:w="4320"/>
          </w:tcPr>
          <w:p>
            <w:r>
              <w:t>Accuracy (reported last, deliberately)</w:t>
            </w:r>
          </w:p>
        </w:tc>
        <w:tc>
          <w:tcPr>
            <w:tcW w:type="dxa" w:w="4320"/>
          </w:tcPr>
          <w:p>
            <w:r>
              <w:t>0.4450 vs majority baseline 0.5550</w:t>
            </w:r>
          </w:p>
        </w:tc>
      </w:tr>
    </w:tbl>
    <w:p>
      <w:pPr>
        <w:pStyle w:val="Heading1"/>
      </w:pPr>
      <w:r>
        <w:t>7. Threshold Optimisation &amp; Business Value</w:t>
      </w:r>
    </w:p>
    <w:p>
      <w:r>
        <w:t>Not 0.5, and not the F1-maximising threshold: a false positive costs EUR 8, a false negative forgoes EUR 120, so 0.5 assumes a cost symmetry that does not exist here. A grid of 201 thresholds is searched on VALIDATION, maximising expected net value under calibrated probabilities.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Metric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Break-even probability (analytic)</w:t>
            </w:r>
          </w:p>
        </w:tc>
        <w:tc>
          <w:tcPr>
            <w:tcW w:type="dxa" w:w="4320"/>
          </w:tcPr>
          <w:p>
            <w:r>
              <w:t>0.0667</w:t>
            </w:r>
          </w:p>
        </w:tc>
      </w:tr>
      <w:tr>
        <w:tc>
          <w:tcPr>
            <w:tcW w:type="dxa" w:w="4320"/>
          </w:tcPr>
          <w:p>
            <w:r>
              <w:t>Chosen threshold (grid search)</w:t>
            </w:r>
          </w:p>
        </w:tc>
        <w:tc>
          <w:tcPr>
            <w:tcW w:type="dxa" w:w="4320"/>
          </w:tcPr>
          <w:p>
            <w:r>
              <w:t>0.0050</w:t>
            </w:r>
          </w:p>
        </w:tc>
      </w:tr>
      <w:tr>
        <w:tc>
          <w:tcPr>
            <w:tcW w:type="dxa" w:w="4320"/>
          </w:tcPr>
          <w:p>
            <w:r>
              <w:t>Uplift vs 0.5 (EUR)</w:t>
            </w:r>
          </w:p>
        </w:tc>
        <w:tc>
          <w:tcPr>
            <w:tcW w:type="dxa" w:w="4320"/>
          </w:tcPr>
          <w:p>
            <w:r>
              <w:t>49920.00</w:t>
            </w:r>
          </w:p>
        </w:tc>
      </w:tr>
      <w:tr>
        <w:tc>
          <w:tcPr>
            <w:tcW w:type="dxa" w:w="4320"/>
          </w:tcPr>
          <w:p>
            <w:r>
              <w:t>Uplift vs calling everyone (EUR)</w:t>
            </w:r>
          </w:p>
        </w:tc>
        <w:tc>
          <w:tcPr>
            <w:tcW w:type="dxa" w:w="4320"/>
          </w:tcPr>
          <w:p>
            <w:r>
              <w:t>16.00</w:t>
            </w:r>
          </w:p>
        </w:tc>
      </w:tr>
    </w:tbl>
    <w:p>
      <w:r>
        <w:t>A capacity-constrained mode is also implemented: rather than a probability cutoff, the top N% of prospects by rank are called -- real call centres are constrained by agent hours, not list quality.</w:t>
      </w:r>
    </w:p>
    <w:p>
      <w:pPr>
        <w:pStyle w:val="Heading1"/>
      </w:pPr>
      <w:r>
        <w:t>8. Application</w:t>
      </w:r>
    </w:p>
    <w:p>
      <w:r>
        <w:t>Both front-ends (Gradio for deployment, Streamlit for local development) share one design system and import only src.inference.predict for scoring, so they cannot disagree.</w:t>
      </w:r>
    </w:p>
    <w:p>
      <w:r>
        <w:t>[[ Insert screenshots 01-04 here (verdict panel, drivers, batch, model card). ]]</w:t>
      </w:r>
    </w:p>
    <w:p>
      <w:pPr>
        <w:pStyle w:val="Heading1"/>
      </w:pPr>
      <w:r>
        <w:t>9. Repo Structure, CI/CD, and Deployment</w:t>
      </w:r>
    </w:p>
    <w:p>
      <w:r>
        <w:t>Three GitHub Actions workflows: ci.yml (lint, matrix pytest across 3.11/3.12, a synthetic-fixture smoke-train job), deploy.yml (assembles a minimal runtime payload -- app.py, requirements.txt, src/, artifacts/, the Space README -- and uploads it via the Hugging Face Hub client on every push to main), and file-size-guard.yml (fails a PR that adds a &gt;10MB file outside Git LFS). See docs/ADR-001-deployment-target.md for why the deployed front-end is Gradio, not Streamlit.</w:t>
      </w:r>
    </w:p>
    <w:p>
      <w:r>
        <w:t>[[ Insert screenshots 05-09 here (Actions run, step summary, live Space, secret, repo tree). ]]</w:t>
      </w:r>
    </w:p>
    <w:p>
      <w:pPr>
        <w:pStyle w:val="Heading1"/>
      </w:pPr>
      <w:r>
        <w:t>10. Performance, Drift, Limitations, and Future Work</w:t>
      </w:r>
    </w:p>
    <w:p>
      <w:r>
        <w:t>Latency, throughput, cold-start, and memory are measured in benchmarks/latency.py and written to benchmarks/results_*.json. Drift is monitored from scratch: PSI (10 reference-quantile bins) for numeric features, Jensen-Shannon divergence for categoricals, reduced to a single STABLE / MONITOR / RETRAIN RECOMMENDED verdict.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Metric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Artifact size (bytes)</w:t>
            </w:r>
          </w:p>
        </w:tc>
        <w:tc>
          <w:tcPr>
            <w:tcW w:type="dxa" w:w="4320"/>
          </w:tcPr>
          <w:p>
            <w:r>
              <w:t>11238</w:t>
            </w:r>
          </w:p>
        </w:tc>
      </w:tr>
    </w:tbl>
    <w:p>
      <w:r>
        <w:t>Known limitations: temporal validity (2008-2010 Portuguese retail-banking data), geographic specificity, unknown-category bias, and no fairness certification despite age and marital status being model inputs. Future work: capacity-aware retraining triggers, an ONNX-exported serving path, and richer explanation caching.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