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Arial" w:hAnsi="Arial"/>
          <w:b/>
          <w:color w:val="1B365D"/>
          <w:sz w:val="52"/>
        </w:rPr>
        <w:t>AI-POWERED AUTOMATED EMAIL AGENT</w:t>
      </w:r>
    </w:p>
    <w:p>
      <w:pPr>
        <w:spacing w:after="720"/>
        <w:jc w:val="center"/>
      </w:pPr>
      <w:r>
        <w:rPr>
          <w:rFonts w:ascii="Arial" w:hAnsi="Arial"/>
          <w:color w:val="555555"/>
          <w:sz w:val="28"/>
        </w:rPr>
        <w:t>Intelligent Gmail Response System with Model Context Protocol (MCP)</w:t>
        <w:br/>
        <w:t>and Local Web Control Dashboard</w:t>
      </w:r>
    </w:p>
    <w:p>
      <w:pPr>
        <w:spacing w:after="960"/>
        <w:jc w:val="center"/>
      </w:pPr>
      <w:r>
        <w:rPr>
          <w:color w:val="3B5998"/>
        </w:rPr>
        <w:t>————————————————————————————————————————</w:t>
      </w:r>
    </w:p>
    <w:p/>
    <w:p/>
    <w:p/>
    <w:p/>
    <w:p>
      <w:pPr>
        <w:spacing w:line="312" w:lineRule="auto"/>
        <w:jc w:val="center"/>
      </w:pPr>
      <w:r>
        <w:rPr>
          <w:rFonts w:ascii="Arial" w:hAnsi="Arial"/>
          <w:b/>
          <w:color w:val="1B365D"/>
          <w:sz w:val="24"/>
        </w:rPr>
        <w:t>INTERNSHIP PROJECT SUBMISSION REPORT</w:t>
        <w:br/>
        <w:br/>
      </w:r>
      <w:r>
        <w:rPr>
          <w:rFonts w:ascii="Arial" w:hAnsi="Arial"/>
          <w:b w:val="0"/>
          <w:color w:val="666666"/>
          <w:sz w:val="21"/>
        </w:rPr>
        <w:t>Submitted By:</w:t>
        <w:br/>
      </w:r>
      <w:r>
        <w:rPr>
          <w:rFonts w:ascii="Arial" w:hAnsi="Arial"/>
          <w:b/>
          <w:color w:val="222222"/>
          <w:sz w:val="24"/>
        </w:rPr>
        <w:t>Kishan Vadsola</w:t>
        <w:br/>
      </w:r>
      <w:r>
        <w:rPr>
          <w:rFonts w:ascii="Arial" w:hAnsi="Arial"/>
          <w:b w:val="0"/>
          <w:color w:val="333333"/>
          <w:sz w:val="21"/>
        </w:rPr>
        <w:t>Software Engineering Intern</w:t>
        <w:br/>
      </w:r>
      <w:r>
        <w:rPr>
          <w:rFonts w:ascii="Arial" w:hAnsi="Arial"/>
          <w:b w:val="0"/>
          <w:color w:val="666666"/>
          <w:sz w:val="20"/>
        </w:rPr>
        <w:t xml:space="preserve">Email: </w:t>
      </w:r>
      <w:r>
        <w:rPr>
          <w:rFonts w:ascii="Arial" w:hAnsi="Arial"/>
          <w:b/>
          <w:color w:val="333333"/>
          <w:sz w:val="20"/>
        </w:rPr>
        <w:t>vadsolakishan1310@gmail.com</w:t>
        <w:br/>
        <w:br/>
      </w:r>
      <w:r>
        <w:rPr>
          <w:rFonts w:ascii="Arial" w:hAnsi="Arial"/>
          <w:b w:val="0"/>
          <w:color w:val="666666"/>
          <w:sz w:val="21"/>
        </w:rPr>
        <w:t>Host Organization:</w:t>
        <w:br/>
      </w:r>
      <w:r>
        <w:rPr>
          <w:rFonts w:ascii="Arial" w:hAnsi="Arial"/>
          <w:b/>
          <w:color w:val="3B5998"/>
          <w:sz w:val="23"/>
        </w:rPr>
        <w:t>[Your Internship Company Name / Department]</w:t>
        <w:br/>
        <w:br/>
      </w:r>
      <w:r>
        <w:rPr>
          <w:rFonts w:ascii="Arial" w:hAnsi="Arial"/>
          <w:b w:val="0"/>
          <w:color w:val="666666"/>
          <w:sz w:val="20"/>
        </w:rPr>
        <w:t xml:space="preserve">Submission Date: </w:t>
      </w:r>
      <w:r>
        <w:rPr>
          <w:rFonts w:ascii="Arial" w:hAnsi="Arial"/>
          <w:b/>
          <w:color w:val="222222"/>
          <w:sz w:val="20"/>
        </w:rPr>
        <w:t>June 22, 2026</w:t>
        <w:br/>
      </w:r>
    </w:p>
    <w:p>
      <w:r>
        <w:br w:type="page"/>
      </w:r>
    </w:p>
    <w:p>
      <w:pPr>
        <w:keepNext/>
        <w:spacing w:before="360" w:after="120"/>
      </w:pPr>
      <w:r>
        <w:rPr>
          <w:rFonts w:ascii="Arial" w:hAnsi="Arial"/>
          <w:b/>
          <w:color w:val="1B365D"/>
          <w:sz w:val="36"/>
        </w:rPr>
        <w:t>1. Executive Summary</w:t>
      </w:r>
    </w:p>
    <w:p>
      <w:pPr>
        <w:spacing w:after="120" w:line="276" w:lineRule="auto"/>
      </w:pPr>
      <w:r>
        <w:rPr>
          <w:rFonts w:ascii="Arial" w:hAnsi="Arial"/>
          <w:color w:val="333333"/>
          <w:sz w:val="21"/>
        </w:rPr>
        <w:t>In the modern professional landscape, email serves as the primary medium of corporate communication. However, sorting through high volumes of messages, drafting contextual responses, and executing mundane operational chores leads to substantial productivity drain. The goal of this internship project is to build an autonomous email automation workspace. The resulting application, 'AI Email Agent', combines model intelligence with protocol-driven tool architectures to capture, scan, categorize, and answer incoming emails automatically.</w:t>
      </w:r>
    </w:p>
    <w:p>
      <w:pPr>
        <w:spacing w:after="120" w:line="276" w:lineRule="auto"/>
      </w:pPr>
      <w:r>
        <w:rPr>
          <w:rFonts w:ascii="Arial" w:hAnsi="Arial"/>
          <w:color w:val="333333"/>
          <w:sz w:val="21"/>
        </w:rPr>
        <w:t>The project consists of three integrated sub-systems: (1) A robust FastAPI server with background worker threads that execute Gmail API checks and cache email logs to a local SQLite database, (2) an Anthropic Claude-powered Auto-Reply Engine that uses contextual prompts to reply or skip automated mails, and (3) a beautiful dashboard frontend that offers live toggles, worker thread monitors, pending lists, and detailed transaction history logs. Additionally, an integration layer utilizing the Model Context Protocol (MCP) exports email-handling capabilities directly as tools to compatible desktop AI tools. This comprehensive setup successfully saves hours of manual inbox management.</w:t>
      </w:r>
    </w:p>
    <w:p>
      <w:pPr>
        <w:keepNext/>
        <w:spacing w:before="360" w:after="120"/>
      </w:pPr>
      <w:r>
        <w:rPr>
          <w:rFonts w:ascii="Arial" w:hAnsi="Arial"/>
          <w:b/>
          <w:color w:val="1B365D"/>
          <w:sz w:val="36"/>
        </w:rPr>
        <w:t>2. System Architecture &amp; Components</w:t>
      </w:r>
    </w:p>
    <w:p>
      <w:pPr>
        <w:spacing w:after="120" w:line="276" w:lineRule="auto"/>
      </w:pPr>
      <w:r>
        <w:rPr>
          <w:rFonts w:ascii="Arial" w:hAnsi="Arial"/>
          <w:color w:val="333333"/>
          <w:sz w:val="21"/>
        </w:rPr>
        <w:t>The application is structured into a modular design. The backend handles connection protocols, background execution, and data integrity. The frontend serves visual alerts and telemetry. A helper MCP server opens standard APIs to LLM clients.</w:t>
      </w:r>
    </w:p>
    <w:p>
      <w:pPr>
        <w:keepNext/>
        <w:spacing w:before="360" w:after="120"/>
      </w:pPr>
      <w:r>
        <w:rPr>
          <w:rFonts w:ascii="Arial" w:hAnsi="Arial"/>
          <w:b/>
          <w:color w:val="3B5998"/>
          <w:sz w:val="28"/>
        </w:rPr>
        <w:t>2.1 Technical Stack</w:t>
      </w:r>
    </w:p>
    <w:p>
      <w:pPr>
        <w:pStyle w:val="ListBullet"/>
        <w:spacing w:after="80" w:line="276" w:lineRule="auto"/>
      </w:pPr>
      <w:r>
        <w:rPr>
          <w:rFonts w:ascii="Arial" w:hAnsi="Arial"/>
          <w:b/>
          <w:color w:val="222222"/>
          <w:sz w:val="21"/>
        </w:rPr>
        <w:t xml:space="preserve">Backend Server: </w:t>
      </w:r>
      <w:r>
        <w:rPr>
          <w:rFonts w:ascii="Arial" w:hAnsi="Arial"/>
          <w:color w:val="333333"/>
          <w:sz w:val="21"/>
        </w:rPr>
        <w:t>FastAPI (Python): High-performance framework utilized for server creation, lifecycle management, and REST APIs.</w:t>
      </w:r>
    </w:p>
    <w:p>
      <w:pPr>
        <w:pStyle w:val="ListBullet"/>
        <w:spacing w:after="80" w:line="276" w:lineRule="auto"/>
      </w:pPr>
      <w:r>
        <w:rPr>
          <w:rFonts w:ascii="Arial" w:hAnsi="Arial"/>
          <w:b/>
          <w:color w:val="222222"/>
          <w:sz w:val="21"/>
        </w:rPr>
        <w:t xml:space="preserve">Server runner: </w:t>
      </w:r>
      <w:r>
        <w:rPr>
          <w:rFonts w:ascii="Arial" w:hAnsi="Arial"/>
          <w:color w:val="333333"/>
          <w:sz w:val="21"/>
        </w:rPr>
        <w:t>Uvicorn: ASGI web server for running the FastAPI application.</w:t>
      </w:r>
    </w:p>
    <w:p>
      <w:pPr>
        <w:pStyle w:val="ListBullet"/>
        <w:spacing w:after="80" w:line="276" w:lineRule="auto"/>
      </w:pPr>
      <w:r>
        <w:rPr>
          <w:rFonts w:ascii="Arial" w:hAnsi="Arial"/>
          <w:b/>
          <w:color w:val="222222"/>
          <w:sz w:val="21"/>
        </w:rPr>
        <w:t xml:space="preserve">Data Store: </w:t>
      </w:r>
      <w:r>
        <w:rPr>
          <w:rFonts w:ascii="Arial" w:hAnsi="Arial"/>
          <w:color w:val="333333"/>
          <w:sz w:val="21"/>
        </w:rPr>
        <w:t>SQLite: Serverless SQL database used to log sync intervals, configuration settings, inbox records, and auto-reply entries.</w:t>
      </w:r>
    </w:p>
    <w:p>
      <w:pPr>
        <w:pStyle w:val="ListBullet"/>
        <w:spacing w:after="80" w:line="276" w:lineRule="auto"/>
      </w:pPr>
      <w:r>
        <w:rPr>
          <w:rFonts w:ascii="Arial" w:hAnsi="Arial"/>
          <w:b/>
          <w:color w:val="222222"/>
          <w:sz w:val="21"/>
        </w:rPr>
        <w:t xml:space="preserve">Integrations: </w:t>
      </w:r>
      <w:r>
        <w:rPr>
          <w:rFonts w:ascii="Arial" w:hAnsi="Arial"/>
          <w:color w:val="333333"/>
          <w:sz w:val="21"/>
        </w:rPr>
        <w:t>Google Gmail API (OAuth 2.0): Authenticates using Gmail credentials, downloads inbox messages, and writes replies.</w:t>
      </w:r>
    </w:p>
    <w:p>
      <w:pPr>
        <w:pStyle w:val="ListBullet"/>
        <w:spacing w:after="80" w:line="276" w:lineRule="auto"/>
      </w:pPr>
      <w:r>
        <w:rPr>
          <w:rFonts w:ascii="Arial" w:hAnsi="Arial"/>
          <w:b/>
          <w:color w:val="222222"/>
          <w:sz w:val="21"/>
        </w:rPr>
        <w:t xml:space="preserve">AI Brain: </w:t>
      </w:r>
      <w:r>
        <w:rPr>
          <w:rFonts w:ascii="Arial" w:hAnsi="Arial"/>
          <w:color w:val="333333"/>
          <w:sz w:val="21"/>
        </w:rPr>
        <w:t>Anthropic Claude API (via Anthropic Client): Powers the AI engine that drafts personalized, tone-based email replies.</w:t>
      </w:r>
    </w:p>
    <w:p>
      <w:pPr>
        <w:pStyle w:val="ListBullet"/>
        <w:spacing w:after="80" w:line="276" w:lineRule="auto"/>
      </w:pPr>
      <w:r>
        <w:rPr>
          <w:rFonts w:ascii="Arial" w:hAnsi="Arial"/>
          <w:b/>
          <w:color w:val="222222"/>
          <w:sz w:val="21"/>
        </w:rPr>
        <w:t xml:space="preserve">MCP Protocol: </w:t>
      </w:r>
      <w:r>
        <w:rPr>
          <w:rFonts w:ascii="Arial" w:hAnsi="Arial"/>
          <w:color w:val="333333"/>
          <w:sz w:val="21"/>
        </w:rPr>
        <w:t>FastMCP: Protocol framework used to create standard MCP endpoints and register tools for Claude Desktop Client.</w:t>
      </w:r>
    </w:p>
    <w:p>
      <w:pPr>
        <w:pStyle w:val="ListBullet"/>
        <w:spacing w:after="80" w:line="276" w:lineRule="auto"/>
      </w:pPr>
      <w:r>
        <w:rPr>
          <w:rFonts w:ascii="Arial" w:hAnsi="Arial"/>
          <w:b/>
          <w:color w:val="222222"/>
          <w:sz w:val="21"/>
        </w:rPr>
        <w:t xml:space="preserve">Frontend: </w:t>
      </w:r>
      <w:r>
        <w:rPr>
          <w:rFonts w:ascii="Arial" w:hAnsi="Arial"/>
          <w:color w:val="333333"/>
          <w:sz w:val="21"/>
        </w:rPr>
        <w:t>Vanilla CSS &amp; JavaScript: Styled dashboard featuring glassmorphism elements, stats telemetry, and detailed previews.</w:t>
      </w:r>
    </w:p>
    <w:p>
      <w:pPr>
        <w:keepNext/>
        <w:spacing w:before="360" w:after="120"/>
      </w:pPr>
      <w:r>
        <w:rPr>
          <w:rFonts w:ascii="Arial" w:hAnsi="Arial"/>
          <w:b/>
          <w:color w:val="3B5998"/>
          <w:sz w:val="28"/>
        </w:rPr>
        <w:t>2.2 Module Architecture Diagram</w:t>
      </w:r>
    </w:p>
    <w:p>
      <w:pPr>
        <w:spacing w:after="120" w:line="276" w:lineRule="auto"/>
      </w:pPr>
      <w:r>
        <w:rPr>
          <w:rFonts w:ascii="Arial" w:hAnsi="Arial"/>
          <w:color w:val="333333"/>
          <w:sz w:val="21"/>
        </w:rPr>
        <w:t>The interaction workflow between the client, local server, databases, Google services, and Anthropic APIs is illustrated below:</w:t>
      </w:r>
    </w:p>
    <w:p>
      <w:pPr>
        <w:ind w:left="720"/>
      </w:pPr>
      <w:r>
        <w:rPr>
          <w:rFonts w:ascii="Courier New" w:hAnsi="Courier New"/>
          <w:sz w:val="19"/>
        </w:rPr>
        <w:t>┌────────────────────────────────────────────────────────┐</w:t>
        <w:br/>
        <w:t>│                    Frontend Dashboard                  │</w:t>
        <w:br/>
        <w:t>│             (HTML5 / JavaScript / Vanilla CSS)         │</w:t>
        <w:br/>
        <w:t>└───────────┬─────────────────────────────▲──────────────┘</w:t>
        <w:br/>
        <w:t xml:space="preserve">            │ REST Requests               │ SSE / Long-poll updates</w:t>
        <w:br/>
        <w:t xml:space="preserve">            ▼                             │</w:t>
        <w:br/>
        <w:t>┌─────────────────────────────────────────┴──────────────┐</w:t>
        <w:br/>
        <w:t>│                  FastAPI Backend Server                │</w:t>
        <w:br/>
        <w:t>│     - Endpoints: /api/emails, /api/settings, etc.      │</w:t>
        <w:br/>
        <w:t>│     - Background Async Task (Auto-Reply Engine Loop)   │</w:t>
        <w:br/>
        <w:t>└─────┬──────────────┬─────────────┬─────────────┬───────┘</w:t>
        <w:br/>
        <w:t xml:space="preserve">      │ Read/Write   │ OAuth       │ API Call    │ Tool Calls</w:t>
        <w:br/>
        <w:t xml:space="preserve">      ▼              ▼             ▼             ▼</w:t>
        <w:br/>
        <w:t>┌──────────┐   ┌───────────┐ ┌───────────┐ ┌───────────┐</w:t>
        <w:br/>
        <w:t>│  SQLite  │   │ Gmail API │ │ Claude AI │ │    MCP    │</w:t>
        <w:br/>
        <w:t>│ Database │   │ (Google)  │ │ (Anthropic│ │  Server   │</w:t>
        <w:br/>
        <w:t>└──────────┘   └───────────┘ └───────────┘ └───────────┘</w:t>
      </w:r>
    </w:p>
    <w:p>
      <w:r>
        <w:br w:type="page"/>
      </w:r>
    </w:p>
    <w:p>
      <w:pPr>
        <w:keepNext/>
        <w:spacing w:before="360" w:after="120"/>
      </w:pPr>
      <w:r>
        <w:rPr>
          <w:rFonts w:ascii="Arial" w:hAnsi="Arial"/>
          <w:b/>
          <w:color w:val="1B365D"/>
          <w:sz w:val="36"/>
        </w:rPr>
        <w:t>3. System Features &amp; Implementation Details</w:t>
      </w:r>
    </w:p>
    <w:p>
      <w:pPr>
        <w:spacing w:after="120" w:line="276" w:lineRule="auto"/>
      </w:pPr>
      <w:r>
        <w:rPr>
          <w:rFonts w:ascii="Arial" w:hAnsi="Arial"/>
          <w:color w:val="333333"/>
          <w:sz w:val="21"/>
        </w:rPr>
        <w:t>The project was designed and engineered to include multiple advanced features that ensure automated email execution is both user-friendly and highly robust. Below are details of the main features implemented:</w:t>
      </w:r>
    </w:p>
    <w:p>
      <w:pPr>
        <w:keepNext/>
        <w:spacing w:before="360" w:after="120"/>
      </w:pPr>
      <w:r>
        <w:rPr>
          <w:rFonts w:ascii="Arial" w:hAnsi="Arial"/>
          <w:b/>
          <w:color w:val="3B5998"/>
          <w:sz w:val="28"/>
        </w:rPr>
        <w:t>3.1 Intelligent Auto-Reply Loop with Label Prevention</w:t>
      </w:r>
    </w:p>
    <w:p>
      <w:pPr>
        <w:spacing w:after="120" w:line="276" w:lineRule="auto"/>
      </w:pPr>
      <w:r>
        <w:rPr>
          <w:rFonts w:ascii="Arial" w:hAnsi="Arial"/>
          <w:color w:val="333333"/>
          <w:sz w:val="21"/>
        </w:rPr>
        <w:t>Autonomous reply engines are vulnerable to infinite-loop scenarios (where two auto-reply bots continuously reply to one another). To counter this, the AI Email Agent integrates loop prevention safeguards. When the background worker thread processes an unread email, it downloads the details, sends them to Claude, drafts the reply, and sends the response. Crucially, the engine then applies a custom Gmail label ('auto-replied') to the message thread. During subsequent scan checks, the system queries Gmail for messages that match the criteria 'is:unread' but specifically excludes threads tagged with the 'auto-replied' label. This blocks duplicate response executions.</w:t>
      </w:r>
    </w:p>
    <w:p>
      <w:pPr>
        <w:keepNext/>
        <w:spacing w:before="360" w:after="120"/>
      </w:pPr>
      <w:r>
        <w:rPr>
          <w:rFonts w:ascii="Arial" w:hAnsi="Arial"/>
          <w:b/>
          <w:color w:val="3B5998"/>
          <w:sz w:val="28"/>
        </w:rPr>
        <w:t>3.2 Smart Email Filtering &amp; Filtering Rules</w:t>
      </w:r>
    </w:p>
    <w:p>
      <w:pPr>
        <w:spacing w:after="120" w:line="276" w:lineRule="auto"/>
      </w:pPr>
      <w:r>
        <w:rPr>
          <w:rFonts w:ascii="Arial" w:hAnsi="Arial"/>
          <w:color w:val="333333"/>
          <w:sz w:val="21"/>
        </w:rPr>
        <w:t>An AI reply should only be generated for active, personal, or corporate inquiries. Automatically responding to newsletters, commercial flyers, or machine notifications results in spam. The AI Email Agent implements strict skipping guidelines:</w:t>
      </w:r>
    </w:p>
    <w:p>
      <w:pPr>
        <w:pStyle w:val="ListBullet"/>
        <w:spacing w:after="80" w:line="276" w:lineRule="auto"/>
      </w:pPr>
      <w:r>
        <w:rPr>
          <w:rFonts w:ascii="Arial" w:hAnsi="Arial"/>
          <w:b/>
          <w:color w:val="222222"/>
          <w:sz w:val="21"/>
        </w:rPr>
        <w:t xml:space="preserve">Header Filtering: </w:t>
      </w:r>
      <w:r>
        <w:rPr>
          <w:rFonts w:ascii="Arial" w:hAnsi="Arial"/>
          <w:color w:val="333333"/>
          <w:sz w:val="21"/>
        </w:rPr>
        <w:t>Skipping system addresses like no-reply@, noreply@, support@, alert@, news@, notifications@.</w:t>
      </w:r>
    </w:p>
    <w:p>
      <w:pPr>
        <w:pStyle w:val="ListBullet"/>
        <w:spacing w:after="80" w:line="276" w:lineRule="auto"/>
      </w:pPr>
      <w:r>
        <w:rPr>
          <w:rFonts w:ascii="Arial" w:hAnsi="Arial"/>
          <w:b/>
          <w:color w:val="222222"/>
          <w:sz w:val="21"/>
        </w:rPr>
        <w:t xml:space="preserve">AI Content Check: </w:t>
      </w:r>
      <w:r>
        <w:rPr>
          <w:rFonts w:ascii="Arial" w:hAnsi="Arial"/>
          <w:color w:val="333333"/>
          <w:sz w:val="21"/>
        </w:rPr>
        <w:t>Claude checks the mail subject and body text to identify marketing newsletters, sign-up updates, or receipts.</w:t>
      </w:r>
    </w:p>
    <w:p>
      <w:pPr>
        <w:pStyle w:val="ListBullet"/>
        <w:spacing w:after="80" w:line="276" w:lineRule="auto"/>
      </w:pPr>
      <w:r>
        <w:rPr>
          <w:rFonts w:ascii="Arial" w:hAnsi="Arial"/>
          <w:b/>
          <w:color w:val="222222"/>
          <w:sz w:val="21"/>
        </w:rPr>
        <w:t xml:space="preserve">Safety Defaults: </w:t>
      </w:r>
      <w:r>
        <w:rPr>
          <w:rFonts w:ascii="Arial" w:hAnsi="Arial"/>
          <w:color w:val="333333"/>
          <w:sz w:val="21"/>
        </w:rPr>
        <w:t>Replies are disabled if the sender is empty, matches automated system templates, or has a mailing list unsubscribe header.</w:t>
      </w:r>
    </w:p>
    <w:p>
      <w:pPr>
        <w:keepNext/>
        <w:spacing w:before="360" w:after="120"/>
      </w:pPr>
      <w:r>
        <w:rPr>
          <w:rFonts w:ascii="Arial" w:hAnsi="Arial"/>
          <w:b/>
          <w:color w:val="3B5998"/>
          <w:sz w:val="28"/>
        </w:rPr>
        <w:t>3.3 Multi-Tone Writing Configurations</w:t>
      </w:r>
    </w:p>
    <w:p>
      <w:pPr>
        <w:spacing w:after="120" w:line="276" w:lineRule="auto"/>
      </w:pPr>
      <w:r>
        <w:rPr>
          <w:rFonts w:ascii="Arial" w:hAnsi="Arial"/>
          <w:color w:val="333333"/>
          <w:sz w:val="21"/>
        </w:rPr>
        <w:t>Depending on the context of the email address, different tones are required. The auto-reply system supports tone configurations: (1) Professional tone for commercial clients, (2) Friendly tone for colleagues and personal contacts, and (3) Casual tone for everyday operations. Tone settings can be parsed via the environment variables or toggled in database preferences.</w:t>
      </w:r>
    </w:p>
    <w:p>
      <w:pPr>
        <w:keepNext/>
        <w:spacing w:before="360" w:after="120"/>
      </w:pPr>
      <w:r>
        <w:rPr>
          <w:rFonts w:ascii="Arial" w:hAnsi="Arial"/>
          <w:b/>
          <w:color w:val="3B5998"/>
          <w:sz w:val="28"/>
        </w:rPr>
        <w:t>3.4 HTML5 Live Dashboard UI</w:t>
      </w:r>
    </w:p>
    <w:p>
      <w:pPr>
        <w:spacing w:after="120" w:line="276" w:lineRule="auto"/>
      </w:pPr>
      <w:r>
        <w:rPr>
          <w:rFonts w:ascii="Arial" w:hAnsi="Arial"/>
          <w:color w:val="333333"/>
          <w:sz w:val="21"/>
        </w:rPr>
        <w:t>A gorgeous glassmorphism dashboard allows the user to supervise the background tasks. It includes: visual cards for unread count, captured count, and replies sent; a live toggle to turn the background runner ON/OFF; active queue monitoring showing what the worker is doing; two distinct tab views for mail records and generated AI drafts; search bars to filter logs; and detailed modal popups that render draft previews.</w:t>
      </w:r>
    </w:p>
    <w:p>
      <w:pPr>
        <w:keepNext/>
        <w:spacing w:before="360" w:after="120"/>
      </w:pPr>
      <w:r>
        <w:rPr>
          <w:rFonts w:ascii="Arial" w:hAnsi="Arial"/>
          <w:b/>
          <w:color w:val="3B5998"/>
          <w:sz w:val="28"/>
        </w:rPr>
        <w:t>3.5 Model Context Protocol (MCP) Server Integration</w:t>
      </w:r>
    </w:p>
    <w:p>
      <w:pPr>
        <w:spacing w:after="120" w:line="276" w:lineRule="auto"/>
      </w:pPr>
      <w:r>
        <w:rPr>
          <w:rFonts w:ascii="Arial" w:hAnsi="Arial"/>
          <w:color w:val="333333"/>
          <w:sz w:val="21"/>
        </w:rPr>
        <w:t>The project includes an MCP server implementation using FastMCP. This wraps the underlying Gmail services into unified tools: list_unread_emails, get_email_details, reply_to_email, search_emails, and auto_reply_all. When hooked into an MCP host (such as the Claude Desktop app), it allows desktop LLM interfaces to use these tools dynamically, creating a decentralized personal agent ecosystem.</w:t>
      </w:r>
    </w:p>
    <w:p>
      <w:r>
        <w:br w:type="page"/>
      </w:r>
    </w:p>
    <w:p>
      <w:pPr>
        <w:keepNext/>
        <w:spacing w:before="360" w:after="120"/>
      </w:pPr>
      <w:r>
        <w:rPr>
          <w:rFonts w:ascii="Arial" w:hAnsi="Arial"/>
          <w:b/>
          <w:color w:val="1B365D"/>
          <w:sz w:val="36"/>
        </w:rPr>
        <w:t>4. Database Schema &amp; Storage Design</w:t>
      </w:r>
    </w:p>
    <w:p>
      <w:pPr>
        <w:spacing w:after="120" w:line="276" w:lineRule="auto"/>
      </w:pPr>
      <w:r>
        <w:rPr>
          <w:rFonts w:ascii="Arial" w:hAnsi="Arial"/>
          <w:color w:val="333333"/>
          <w:sz w:val="21"/>
        </w:rPr>
        <w:t>To minimize memory footprint while maintaining persistent data logs across server reboots, a local SQLite database structure was designed. It contains three main tables: settings, email_logs, and inbox_emails.</w:t>
      </w:r>
    </w:p>
    <w:p>
      <w:pPr>
        <w:keepNext/>
        <w:spacing w:before="360" w:after="120"/>
      </w:pPr>
      <w:r>
        <w:rPr>
          <w:rFonts w:ascii="Arial" w:hAnsi="Arial"/>
          <w:b/>
          <w:color w:val="3B5998"/>
          <w:sz w:val="28"/>
        </w:rPr>
        <w:t>4.1 SQLite Database Schema Details</w:t>
      </w:r>
    </w:p>
    <w:tbl>
      <w:tblPr>
        <w:tblStyle w:val="MediumShading1-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Arial" w:hAnsi="Arial"/>
                <w:b/>
                <w:sz w:val="20"/>
              </w:rPr>
              <w:t>Table Name</w:t>
            </w:r>
          </w:p>
        </w:tc>
        <w:tc>
          <w:tcPr>
            <w:tcW w:type="dxa" w:w="1872"/>
          </w:tcPr>
          <w:p>
            <w:pPr>
              <w:jc w:val="left"/>
            </w:pPr>
            <w:r>
              <w:rPr>
                <w:rFonts w:ascii="Arial" w:hAnsi="Arial"/>
                <w:b/>
                <w:sz w:val="20"/>
              </w:rPr>
              <w:t>Column Name</w:t>
            </w:r>
          </w:p>
        </w:tc>
        <w:tc>
          <w:tcPr>
            <w:tcW w:type="dxa" w:w="1872"/>
          </w:tcPr>
          <w:p>
            <w:pPr>
              <w:jc w:val="left"/>
            </w:pPr>
            <w:r>
              <w:rPr>
                <w:rFonts w:ascii="Arial" w:hAnsi="Arial"/>
                <w:b/>
                <w:sz w:val="20"/>
              </w:rPr>
              <w:t>Data Type</w:t>
            </w:r>
          </w:p>
        </w:tc>
        <w:tc>
          <w:tcPr>
            <w:tcW w:type="dxa" w:w="1872"/>
          </w:tcPr>
          <w:p>
            <w:pPr>
              <w:jc w:val="left"/>
            </w:pPr>
            <w:r>
              <w:rPr>
                <w:rFonts w:ascii="Arial" w:hAnsi="Arial"/>
                <w:b/>
                <w:sz w:val="20"/>
              </w:rPr>
              <w:t>Constraints</w:t>
            </w:r>
          </w:p>
        </w:tc>
        <w:tc>
          <w:tcPr>
            <w:tcW w:type="dxa" w:w="1872"/>
          </w:tcPr>
          <w:p>
            <w:pPr>
              <w:jc w:val="left"/>
            </w:pPr>
            <w:r>
              <w:rPr>
                <w:rFonts w:ascii="Arial" w:hAnsi="Arial"/>
                <w:b/>
                <w:sz w:val="20"/>
              </w:rPr>
              <w:t>Description</w:t>
            </w:r>
          </w:p>
        </w:tc>
      </w:tr>
      <w:tr>
        <w:tc>
          <w:tcPr>
            <w:tcW w:type="dxa" w:w="1872"/>
          </w:tcPr>
          <w:p>
            <w:pPr>
              <w:jc w:val="left"/>
            </w:pPr>
            <w:r>
              <w:rPr>
                <w:rFonts w:ascii="Arial" w:hAnsi="Arial"/>
                <w:sz w:val="19"/>
              </w:rPr>
              <w:t>settings</w:t>
            </w:r>
          </w:p>
        </w:tc>
        <w:tc>
          <w:tcPr>
            <w:tcW w:type="dxa" w:w="1872"/>
          </w:tcPr>
          <w:p>
            <w:pPr>
              <w:jc w:val="left"/>
            </w:pPr>
            <w:r>
              <w:rPr>
                <w:rFonts w:ascii="Arial" w:hAnsi="Arial"/>
                <w:sz w:val="19"/>
              </w:rPr>
              <w:t>key</w:t>
            </w:r>
          </w:p>
        </w:tc>
        <w:tc>
          <w:tcPr>
            <w:tcW w:type="dxa" w:w="1872"/>
          </w:tcPr>
          <w:p>
            <w:pPr>
              <w:jc w:val="left"/>
            </w:pPr>
            <w:r>
              <w:rPr>
                <w:rFonts w:ascii="Arial" w:hAnsi="Arial"/>
                <w:sz w:val="19"/>
              </w:rPr>
              <w:t>TEXT</w:t>
            </w:r>
          </w:p>
        </w:tc>
        <w:tc>
          <w:tcPr>
            <w:tcW w:type="dxa" w:w="1872"/>
          </w:tcPr>
          <w:p>
            <w:pPr>
              <w:jc w:val="left"/>
            </w:pPr>
            <w:r>
              <w:rPr>
                <w:rFonts w:ascii="Arial" w:hAnsi="Arial"/>
                <w:sz w:val="19"/>
              </w:rPr>
              <w:t>PRIMARY KEY</w:t>
            </w:r>
          </w:p>
        </w:tc>
        <w:tc>
          <w:tcPr>
            <w:tcW w:type="dxa" w:w="1872"/>
          </w:tcPr>
          <w:p>
            <w:pPr>
              <w:jc w:val="left"/>
            </w:pPr>
            <w:r>
              <w:rPr>
                <w:rFonts w:ascii="Arial" w:hAnsi="Arial"/>
                <w:sz w:val="19"/>
              </w:rPr>
              <w:t>Unique configuration keyword (e.g. is_auto_reply_on)</w:t>
            </w:r>
          </w:p>
        </w:tc>
      </w:tr>
      <w:tr>
        <w:tc>
          <w:tcPr>
            <w:tcW w:type="dxa" w:w="1872"/>
          </w:tcPr>
          <w:p>
            <w:pPr>
              <w:jc w:val="left"/>
            </w:pPr>
            <w:r>
              <w:rPr>
                <w:rFonts w:ascii="Arial" w:hAnsi="Arial"/>
                <w:sz w:val="19"/>
              </w:rPr>
              <w:t>settings</w:t>
            </w:r>
          </w:p>
        </w:tc>
        <w:tc>
          <w:tcPr>
            <w:tcW w:type="dxa" w:w="1872"/>
          </w:tcPr>
          <w:p>
            <w:pPr>
              <w:jc w:val="left"/>
            </w:pPr>
            <w:r>
              <w:rPr>
                <w:rFonts w:ascii="Arial" w:hAnsi="Arial"/>
                <w:sz w:val="19"/>
              </w:rPr>
              <w:t>value</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Assigned configuration setting value</w:t>
            </w:r>
          </w:p>
        </w:tc>
      </w:tr>
      <w:tr>
        <w:tc>
          <w:tcPr>
            <w:tcW w:type="dxa" w:w="1872"/>
          </w:tcPr>
          <w:p>
            <w:pPr>
              <w:jc w:val="left"/>
            </w:pPr>
            <w:r>
              <w:rPr>
                <w:rFonts w:ascii="Arial" w:hAnsi="Arial"/>
                <w:sz w:val="19"/>
              </w:rPr>
              <w:t>email_logs</w:t>
            </w:r>
          </w:p>
        </w:tc>
        <w:tc>
          <w:tcPr>
            <w:tcW w:type="dxa" w:w="1872"/>
          </w:tcPr>
          <w:p>
            <w:pPr>
              <w:jc w:val="left"/>
            </w:pPr>
            <w:r>
              <w:rPr>
                <w:rFonts w:ascii="Arial" w:hAnsi="Arial"/>
                <w:sz w:val="19"/>
              </w:rPr>
              <w:t>id</w:t>
            </w:r>
          </w:p>
        </w:tc>
        <w:tc>
          <w:tcPr>
            <w:tcW w:type="dxa" w:w="1872"/>
          </w:tcPr>
          <w:p>
            <w:pPr>
              <w:jc w:val="left"/>
            </w:pPr>
            <w:r>
              <w:rPr>
                <w:rFonts w:ascii="Arial" w:hAnsi="Arial"/>
                <w:sz w:val="19"/>
              </w:rPr>
              <w:t>INTEGER</w:t>
            </w:r>
          </w:p>
        </w:tc>
        <w:tc>
          <w:tcPr>
            <w:tcW w:type="dxa" w:w="1872"/>
          </w:tcPr>
          <w:p>
            <w:pPr>
              <w:jc w:val="left"/>
            </w:pPr>
            <w:r>
              <w:rPr>
                <w:rFonts w:ascii="Arial" w:hAnsi="Arial"/>
                <w:sz w:val="19"/>
              </w:rPr>
              <w:t>PRIMARY KEY AUTOINCREMENT</w:t>
            </w:r>
          </w:p>
        </w:tc>
        <w:tc>
          <w:tcPr>
            <w:tcW w:type="dxa" w:w="1872"/>
          </w:tcPr>
          <w:p>
            <w:pPr>
              <w:jc w:val="left"/>
            </w:pPr>
            <w:r>
              <w:rPr>
                <w:rFonts w:ascii="Arial" w:hAnsi="Arial"/>
                <w:sz w:val="19"/>
              </w:rPr>
              <w:t>Unique internal transaction ID</w:t>
            </w:r>
          </w:p>
        </w:tc>
      </w:tr>
      <w:tr>
        <w:tc>
          <w:tcPr>
            <w:tcW w:type="dxa" w:w="1872"/>
          </w:tcPr>
          <w:p>
            <w:pPr>
              <w:jc w:val="left"/>
            </w:pPr>
            <w:r>
              <w:rPr>
                <w:rFonts w:ascii="Arial" w:hAnsi="Arial"/>
                <w:sz w:val="19"/>
              </w:rPr>
              <w:t>email_logs</w:t>
            </w:r>
          </w:p>
        </w:tc>
        <w:tc>
          <w:tcPr>
            <w:tcW w:type="dxa" w:w="1872"/>
          </w:tcPr>
          <w:p>
            <w:pPr>
              <w:jc w:val="left"/>
            </w:pPr>
            <w:r>
              <w:rPr>
                <w:rFonts w:ascii="Arial" w:hAnsi="Arial"/>
                <w:sz w:val="19"/>
              </w:rPr>
              <w:t>message_id</w:t>
            </w:r>
          </w:p>
        </w:tc>
        <w:tc>
          <w:tcPr>
            <w:tcW w:type="dxa" w:w="1872"/>
          </w:tcPr>
          <w:p>
            <w:pPr>
              <w:jc w:val="left"/>
            </w:pPr>
            <w:r>
              <w:rPr>
                <w:rFonts w:ascii="Arial" w:hAnsi="Arial"/>
                <w:sz w:val="19"/>
              </w:rPr>
              <w:t>TEXT</w:t>
            </w:r>
          </w:p>
        </w:tc>
        <w:tc>
          <w:tcPr>
            <w:tcW w:type="dxa" w:w="1872"/>
          </w:tcPr>
          <w:p>
            <w:pPr>
              <w:jc w:val="left"/>
            </w:pPr>
            <w:r>
              <w:rPr>
                <w:rFonts w:ascii="Arial" w:hAnsi="Arial"/>
                <w:sz w:val="19"/>
              </w:rPr>
              <w:t>UNIQUE</w:t>
            </w:r>
          </w:p>
        </w:tc>
        <w:tc>
          <w:tcPr>
            <w:tcW w:type="dxa" w:w="1872"/>
          </w:tcPr>
          <w:p>
            <w:pPr>
              <w:jc w:val="left"/>
            </w:pPr>
            <w:r>
              <w:rPr>
                <w:rFonts w:ascii="Arial" w:hAnsi="Arial"/>
                <w:sz w:val="19"/>
              </w:rPr>
              <w:t>Gmail API unique string identifier</w:t>
            </w:r>
          </w:p>
        </w:tc>
      </w:tr>
      <w:tr>
        <w:tc>
          <w:tcPr>
            <w:tcW w:type="dxa" w:w="1872"/>
          </w:tcPr>
          <w:p>
            <w:pPr>
              <w:jc w:val="left"/>
            </w:pPr>
            <w:r>
              <w:rPr>
                <w:rFonts w:ascii="Arial" w:hAnsi="Arial"/>
                <w:sz w:val="19"/>
              </w:rPr>
              <w:t>email_logs</w:t>
            </w:r>
          </w:p>
        </w:tc>
        <w:tc>
          <w:tcPr>
            <w:tcW w:type="dxa" w:w="1872"/>
          </w:tcPr>
          <w:p>
            <w:pPr>
              <w:jc w:val="left"/>
            </w:pPr>
            <w:r>
              <w:rPr>
                <w:rFonts w:ascii="Arial" w:hAnsi="Arial"/>
                <w:sz w:val="19"/>
              </w:rPr>
              <w:t>sender</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Email address of the sender replied to</w:t>
            </w:r>
          </w:p>
        </w:tc>
      </w:tr>
      <w:tr>
        <w:tc>
          <w:tcPr>
            <w:tcW w:type="dxa" w:w="1872"/>
          </w:tcPr>
          <w:p>
            <w:pPr>
              <w:jc w:val="left"/>
            </w:pPr>
            <w:r>
              <w:rPr>
                <w:rFonts w:ascii="Arial" w:hAnsi="Arial"/>
                <w:sz w:val="19"/>
              </w:rPr>
              <w:t>email_logs</w:t>
            </w:r>
          </w:p>
        </w:tc>
        <w:tc>
          <w:tcPr>
            <w:tcW w:type="dxa" w:w="1872"/>
          </w:tcPr>
          <w:p>
            <w:pPr>
              <w:jc w:val="left"/>
            </w:pPr>
            <w:r>
              <w:rPr>
                <w:rFonts w:ascii="Arial" w:hAnsi="Arial"/>
                <w:sz w:val="19"/>
              </w:rPr>
              <w:t>subject</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Subject line of the email thread</w:t>
            </w:r>
          </w:p>
        </w:tc>
      </w:tr>
      <w:tr>
        <w:tc>
          <w:tcPr>
            <w:tcW w:type="dxa" w:w="1872"/>
          </w:tcPr>
          <w:p>
            <w:pPr>
              <w:jc w:val="left"/>
            </w:pPr>
            <w:r>
              <w:rPr>
                <w:rFonts w:ascii="Arial" w:hAnsi="Arial"/>
                <w:sz w:val="19"/>
              </w:rPr>
              <w:t>email_logs</w:t>
            </w:r>
          </w:p>
        </w:tc>
        <w:tc>
          <w:tcPr>
            <w:tcW w:type="dxa" w:w="1872"/>
          </w:tcPr>
          <w:p>
            <w:pPr>
              <w:jc w:val="left"/>
            </w:pPr>
            <w:r>
              <w:rPr>
                <w:rFonts w:ascii="Arial" w:hAnsi="Arial"/>
                <w:sz w:val="19"/>
              </w:rPr>
              <w:t>reply_body</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The AI draft body sent as response</w:t>
            </w:r>
          </w:p>
        </w:tc>
      </w:tr>
      <w:tr>
        <w:tc>
          <w:tcPr>
            <w:tcW w:type="dxa" w:w="1872"/>
          </w:tcPr>
          <w:p>
            <w:pPr>
              <w:jc w:val="left"/>
            </w:pPr>
            <w:r>
              <w:rPr>
                <w:rFonts w:ascii="Arial" w:hAnsi="Arial"/>
                <w:sz w:val="19"/>
              </w:rPr>
              <w:t>email_logs</w:t>
            </w:r>
          </w:p>
        </w:tc>
        <w:tc>
          <w:tcPr>
            <w:tcW w:type="dxa" w:w="1872"/>
          </w:tcPr>
          <w:p>
            <w:pPr>
              <w:jc w:val="left"/>
            </w:pPr>
            <w:r>
              <w:rPr>
                <w:rFonts w:ascii="Arial" w:hAnsi="Arial"/>
                <w:sz w:val="19"/>
              </w:rPr>
              <w:t>timestamp</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ISO 8601 string representing transaction time</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id</w:t>
            </w:r>
          </w:p>
        </w:tc>
        <w:tc>
          <w:tcPr>
            <w:tcW w:type="dxa" w:w="1872"/>
          </w:tcPr>
          <w:p>
            <w:pPr>
              <w:jc w:val="left"/>
            </w:pPr>
            <w:r>
              <w:rPr>
                <w:rFonts w:ascii="Arial" w:hAnsi="Arial"/>
                <w:sz w:val="19"/>
              </w:rPr>
              <w:t>INTEGER</w:t>
            </w:r>
          </w:p>
        </w:tc>
        <w:tc>
          <w:tcPr>
            <w:tcW w:type="dxa" w:w="1872"/>
          </w:tcPr>
          <w:p>
            <w:pPr>
              <w:jc w:val="left"/>
            </w:pPr>
            <w:r>
              <w:rPr>
                <w:rFonts w:ascii="Arial" w:hAnsi="Arial"/>
                <w:sz w:val="19"/>
              </w:rPr>
              <w:t>PRIMARY KEY AUTOINCREMENT</w:t>
            </w:r>
          </w:p>
        </w:tc>
        <w:tc>
          <w:tcPr>
            <w:tcW w:type="dxa" w:w="1872"/>
          </w:tcPr>
          <w:p>
            <w:pPr>
              <w:jc w:val="left"/>
            </w:pPr>
            <w:r>
              <w:rPr>
                <w:rFonts w:ascii="Arial" w:hAnsi="Arial"/>
                <w:sz w:val="19"/>
              </w:rPr>
              <w:t>Unique sync counter ID</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message_id</w:t>
            </w:r>
          </w:p>
        </w:tc>
        <w:tc>
          <w:tcPr>
            <w:tcW w:type="dxa" w:w="1872"/>
          </w:tcPr>
          <w:p>
            <w:pPr>
              <w:jc w:val="left"/>
            </w:pPr>
            <w:r>
              <w:rPr>
                <w:rFonts w:ascii="Arial" w:hAnsi="Arial"/>
                <w:sz w:val="19"/>
              </w:rPr>
              <w:t>TEXT</w:t>
            </w:r>
          </w:p>
        </w:tc>
        <w:tc>
          <w:tcPr>
            <w:tcW w:type="dxa" w:w="1872"/>
          </w:tcPr>
          <w:p>
            <w:pPr>
              <w:jc w:val="left"/>
            </w:pPr>
            <w:r>
              <w:rPr>
                <w:rFonts w:ascii="Arial" w:hAnsi="Arial"/>
                <w:sz w:val="19"/>
              </w:rPr>
              <w:t>UNIQUE</w:t>
            </w:r>
          </w:p>
        </w:tc>
        <w:tc>
          <w:tcPr>
            <w:tcW w:type="dxa" w:w="1872"/>
          </w:tcPr>
          <w:p>
            <w:pPr>
              <w:jc w:val="left"/>
            </w:pPr>
            <w:r>
              <w:rPr>
                <w:rFonts w:ascii="Arial" w:hAnsi="Arial"/>
                <w:sz w:val="19"/>
              </w:rPr>
              <w:t>Gmail API message ID used to prevent duplicate entry</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sender</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Sender email address</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sender_name</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Human readable name of the sender</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subject</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Subject line of the inbox message</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snippet</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Truncated snippet text preview</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date</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Origin date header of the email</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captured_at</w:t>
            </w:r>
          </w:p>
        </w:tc>
        <w:tc>
          <w:tcPr>
            <w:tcW w:type="dxa" w:w="1872"/>
          </w:tcPr>
          <w:p>
            <w:pPr>
              <w:jc w:val="left"/>
            </w:pPr>
            <w:r>
              <w:rPr>
                <w:rFonts w:ascii="Arial" w:hAnsi="Arial"/>
                <w:sz w:val="19"/>
              </w:rPr>
              <w:t>TEXT</w:t>
            </w:r>
          </w:p>
        </w:tc>
        <w:tc>
          <w:tcPr>
            <w:tcW w:type="dxa" w:w="1872"/>
          </w:tcPr>
          <w:p>
            <w:pPr>
              <w:jc w:val="left"/>
            </w:pPr>
            <w:r>
              <w:rPr>
                <w:rFonts w:ascii="Arial" w:hAnsi="Arial"/>
                <w:sz w:val="19"/>
              </w:rPr>
            </w:r>
          </w:p>
        </w:tc>
        <w:tc>
          <w:tcPr>
            <w:tcW w:type="dxa" w:w="1872"/>
          </w:tcPr>
          <w:p>
            <w:pPr>
              <w:jc w:val="left"/>
            </w:pPr>
            <w:r>
              <w:rPr>
                <w:rFonts w:ascii="Arial" w:hAnsi="Arial"/>
                <w:sz w:val="19"/>
              </w:rPr>
              <w:t>Local database capture timestamp</w:t>
            </w:r>
          </w:p>
        </w:tc>
      </w:tr>
      <w:tr>
        <w:tc>
          <w:tcPr>
            <w:tcW w:type="dxa" w:w="1872"/>
          </w:tcPr>
          <w:p>
            <w:pPr>
              <w:jc w:val="left"/>
            </w:pPr>
            <w:r>
              <w:rPr>
                <w:rFonts w:ascii="Arial" w:hAnsi="Arial"/>
                <w:sz w:val="19"/>
              </w:rPr>
              <w:t>inbox_emails</w:t>
            </w:r>
          </w:p>
        </w:tc>
        <w:tc>
          <w:tcPr>
            <w:tcW w:type="dxa" w:w="1872"/>
          </w:tcPr>
          <w:p>
            <w:pPr>
              <w:jc w:val="left"/>
            </w:pPr>
            <w:r>
              <w:rPr>
                <w:rFonts w:ascii="Arial" w:hAnsi="Arial"/>
                <w:sz w:val="19"/>
              </w:rPr>
              <w:t>is_replied</w:t>
            </w:r>
          </w:p>
        </w:tc>
        <w:tc>
          <w:tcPr>
            <w:tcW w:type="dxa" w:w="1872"/>
          </w:tcPr>
          <w:p>
            <w:pPr>
              <w:jc w:val="left"/>
            </w:pPr>
            <w:r>
              <w:rPr>
                <w:rFonts w:ascii="Arial" w:hAnsi="Arial"/>
                <w:sz w:val="19"/>
              </w:rPr>
              <w:t>INTEGER</w:t>
            </w:r>
          </w:p>
        </w:tc>
        <w:tc>
          <w:tcPr>
            <w:tcW w:type="dxa" w:w="1872"/>
          </w:tcPr>
          <w:p>
            <w:pPr>
              <w:jc w:val="left"/>
            </w:pPr>
            <w:r>
              <w:rPr>
                <w:rFonts w:ascii="Arial" w:hAnsi="Arial"/>
                <w:sz w:val="19"/>
              </w:rPr>
              <w:t>DEFAULT 0</w:t>
            </w:r>
          </w:p>
        </w:tc>
        <w:tc>
          <w:tcPr>
            <w:tcW w:type="dxa" w:w="1872"/>
          </w:tcPr>
          <w:p>
            <w:pPr>
              <w:jc w:val="left"/>
            </w:pPr>
            <w:r>
              <w:rPr>
                <w:rFonts w:ascii="Arial" w:hAnsi="Arial"/>
                <w:sz w:val="19"/>
              </w:rPr>
              <w:t>Flag indicator (1 = Auto-replied, 0 = Outstanding)</w:t>
            </w:r>
          </w:p>
        </w:tc>
      </w:tr>
    </w:tbl>
    <w:p>
      <w:pPr>
        <w:spacing w:after="240"/>
      </w:pPr>
    </w:p>
    <w:p>
      <w:pPr>
        <w:keepNext/>
        <w:spacing w:before="360" w:after="120"/>
      </w:pPr>
      <w:r>
        <w:rPr>
          <w:rFonts w:ascii="Arial" w:hAnsi="Arial"/>
          <w:b/>
          <w:color w:val="3B5998"/>
          <w:sz w:val="28"/>
        </w:rPr>
        <w:t>4.2 Sync &amp; Log Workflow</w:t>
      </w:r>
    </w:p>
    <w:p>
      <w:pPr>
        <w:spacing w:after="120" w:line="276" w:lineRule="auto"/>
      </w:pPr>
      <w:r>
        <w:rPr>
          <w:rFonts w:ascii="Arial" w:hAnsi="Arial"/>
          <w:color w:val="333333"/>
          <w:sz w:val="21"/>
        </w:rPr>
        <w:t>Every 30 seconds, the background loop executes a synchronization block. It scrapes the user's unread folders, and commits each new message entry to the `inbox_emails` table. If the auto-reply engine toggle is active, it runs the response engine. Upon a successful response API call to Gmail, the agent writes a log to the `email_logs` table and updates the status flag `is_replied = 1` in the `inbox_emails` table. The frontend polls these SQLite tables to serve up-to-date metrics.</w:t>
      </w:r>
    </w:p>
    <w:p>
      <w:r>
        <w:br w:type="page"/>
      </w:r>
    </w:p>
    <w:p>
      <w:pPr>
        <w:keepNext/>
        <w:spacing w:before="360" w:after="120"/>
      </w:pPr>
      <w:r>
        <w:rPr>
          <w:rFonts w:ascii="Arial" w:hAnsi="Arial"/>
          <w:b/>
          <w:color w:val="1B365D"/>
          <w:sz w:val="36"/>
        </w:rPr>
        <w:t>5. REST API Documentation</w:t>
      </w:r>
    </w:p>
    <w:p>
      <w:pPr>
        <w:spacing w:after="120" w:line="276" w:lineRule="auto"/>
      </w:pPr>
      <w:r>
        <w:rPr>
          <w:rFonts w:ascii="Arial" w:hAnsi="Arial"/>
          <w:color w:val="333333"/>
          <w:sz w:val="21"/>
        </w:rPr>
        <w:t>The backend exposes REST API endpoints, allowing the dashboard frontend or outer integrations to manage the email engine. All routes are prefixed with '/api'.</w:t>
      </w:r>
    </w:p>
    <w:tbl>
      <w:tblPr>
        <w:tblStyle w:val="MediumShading1-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Arial" w:hAnsi="Arial"/>
                <w:b/>
                <w:sz w:val="20"/>
              </w:rPr>
              <w:t>HTTP Method</w:t>
            </w:r>
          </w:p>
        </w:tc>
        <w:tc>
          <w:tcPr>
            <w:tcW w:type="dxa" w:w="1872"/>
          </w:tcPr>
          <w:p>
            <w:pPr>
              <w:jc w:val="left"/>
            </w:pPr>
            <w:r>
              <w:rPr>
                <w:rFonts w:ascii="Arial" w:hAnsi="Arial"/>
                <w:b/>
                <w:sz w:val="20"/>
              </w:rPr>
              <w:t>Endpoint Route</w:t>
            </w:r>
          </w:p>
        </w:tc>
        <w:tc>
          <w:tcPr>
            <w:tcW w:type="dxa" w:w="1872"/>
          </w:tcPr>
          <w:p>
            <w:pPr>
              <w:jc w:val="left"/>
            </w:pPr>
            <w:r>
              <w:rPr>
                <w:rFonts w:ascii="Arial" w:hAnsi="Arial"/>
                <w:b/>
                <w:sz w:val="20"/>
              </w:rPr>
              <w:t>Description</w:t>
            </w:r>
          </w:p>
        </w:tc>
        <w:tc>
          <w:tcPr>
            <w:tcW w:type="dxa" w:w="1872"/>
          </w:tcPr>
          <w:p>
            <w:pPr>
              <w:jc w:val="left"/>
            </w:pPr>
            <w:r>
              <w:rPr>
                <w:rFonts w:ascii="Arial" w:hAnsi="Arial"/>
                <w:b/>
                <w:sz w:val="20"/>
              </w:rPr>
              <w:t>Parameters</w:t>
            </w:r>
          </w:p>
        </w:tc>
        <w:tc>
          <w:tcPr>
            <w:tcW w:type="dxa" w:w="1872"/>
          </w:tcPr>
          <w:p>
            <w:pPr>
              <w:jc w:val="left"/>
            </w:pPr>
            <w:r>
              <w:rPr>
                <w:rFonts w:ascii="Arial" w:hAnsi="Arial"/>
                <w:b/>
                <w:sz w:val="20"/>
              </w:rPr>
              <w:t>Response Schema</w:t>
            </w:r>
          </w:p>
        </w:tc>
      </w:tr>
      <w:tr>
        <w:tc>
          <w:tcPr>
            <w:tcW w:type="dxa" w:w="1872"/>
          </w:tcPr>
          <w:p>
            <w:pPr>
              <w:jc w:val="left"/>
            </w:pPr>
            <w:r>
              <w:rPr>
                <w:rFonts w:ascii="Arial" w:hAnsi="Arial"/>
                <w:sz w:val="19"/>
              </w:rPr>
              <w:t>GET</w:t>
            </w:r>
          </w:p>
        </w:tc>
        <w:tc>
          <w:tcPr>
            <w:tcW w:type="dxa" w:w="1872"/>
          </w:tcPr>
          <w:p>
            <w:pPr>
              <w:jc w:val="left"/>
            </w:pPr>
            <w:r>
              <w:rPr>
                <w:rFonts w:ascii="Arial" w:hAnsi="Arial"/>
                <w:sz w:val="19"/>
              </w:rPr>
              <w:t>/api/health</w:t>
            </w:r>
          </w:p>
        </w:tc>
        <w:tc>
          <w:tcPr>
            <w:tcW w:type="dxa" w:w="1872"/>
          </w:tcPr>
          <w:p>
            <w:pPr>
              <w:jc w:val="left"/>
            </w:pPr>
            <w:r>
              <w:rPr>
                <w:rFonts w:ascii="Arial" w:hAnsi="Arial"/>
                <w:sz w:val="19"/>
              </w:rPr>
              <w:t>Service status check</w:t>
            </w:r>
          </w:p>
        </w:tc>
        <w:tc>
          <w:tcPr>
            <w:tcW w:type="dxa" w:w="1872"/>
          </w:tcPr>
          <w:p>
            <w:pPr>
              <w:jc w:val="left"/>
            </w:pPr>
            <w:r>
              <w:rPr>
                <w:rFonts w:ascii="Arial" w:hAnsi="Arial"/>
                <w:sz w:val="19"/>
              </w:rPr>
              <w:t>None</w:t>
            </w:r>
          </w:p>
        </w:tc>
        <w:tc>
          <w:tcPr>
            <w:tcW w:type="dxa" w:w="1872"/>
          </w:tcPr>
          <w:p>
            <w:pPr>
              <w:jc w:val="left"/>
            </w:pPr>
            <w:r>
              <w:rPr>
                <w:rFonts w:ascii="Arial" w:hAnsi="Arial"/>
                <w:sz w:val="19"/>
              </w:rPr>
              <w:t>{"status": "ok", "service": "on/off"}</w:t>
            </w:r>
          </w:p>
        </w:tc>
      </w:tr>
      <w:tr>
        <w:tc>
          <w:tcPr>
            <w:tcW w:type="dxa" w:w="1872"/>
          </w:tcPr>
          <w:p>
            <w:pPr>
              <w:jc w:val="left"/>
            </w:pPr>
            <w:r>
              <w:rPr>
                <w:rFonts w:ascii="Arial" w:hAnsi="Arial"/>
                <w:sz w:val="19"/>
              </w:rPr>
              <w:t>GET</w:t>
            </w:r>
          </w:p>
        </w:tc>
        <w:tc>
          <w:tcPr>
            <w:tcW w:type="dxa" w:w="1872"/>
          </w:tcPr>
          <w:p>
            <w:pPr>
              <w:jc w:val="left"/>
            </w:pPr>
            <w:r>
              <w:rPr>
                <w:rFonts w:ascii="Arial" w:hAnsi="Arial"/>
                <w:sz w:val="19"/>
              </w:rPr>
              <w:t>/api/emails/unread</w:t>
            </w:r>
          </w:p>
        </w:tc>
        <w:tc>
          <w:tcPr>
            <w:tcW w:type="dxa" w:w="1872"/>
          </w:tcPr>
          <w:p>
            <w:pPr>
              <w:jc w:val="left"/>
            </w:pPr>
            <w:r>
              <w:rPr>
                <w:rFonts w:ascii="Arial" w:hAnsi="Arial"/>
                <w:sz w:val="19"/>
              </w:rPr>
              <w:t>Retrieve unread emails</w:t>
            </w:r>
          </w:p>
        </w:tc>
        <w:tc>
          <w:tcPr>
            <w:tcW w:type="dxa" w:w="1872"/>
          </w:tcPr>
          <w:p>
            <w:pPr>
              <w:jc w:val="left"/>
            </w:pPr>
            <w:r>
              <w:rPr>
                <w:rFonts w:ascii="Arial" w:hAnsi="Arial"/>
                <w:sz w:val="19"/>
              </w:rPr>
              <w:t>None</w:t>
            </w:r>
          </w:p>
        </w:tc>
        <w:tc>
          <w:tcPr>
            <w:tcW w:type="dxa" w:w="1872"/>
          </w:tcPr>
          <w:p>
            <w:pPr>
              <w:jc w:val="left"/>
            </w:pPr>
            <w:r>
              <w:rPr>
                <w:rFonts w:ascii="Arial" w:hAnsi="Arial"/>
                <w:sz w:val="19"/>
              </w:rPr>
              <w:t>List of pending unread emails</w:t>
            </w:r>
          </w:p>
        </w:tc>
      </w:tr>
      <w:tr>
        <w:tc>
          <w:tcPr>
            <w:tcW w:type="dxa" w:w="1872"/>
          </w:tcPr>
          <w:p>
            <w:pPr>
              <w:jc w:val="left"/>
            </w:pPr>
            <w:r>
              <w:rPr>
                <w:rFonts w:ascii="Arial" w:hAnsi="Arial"/>
                <w:sz w:val="19"/>
              </w:rPr>
              <w:t>GET</w:t>
            </w:r>
          </w:p>
        </w:tc>
        <w:tc>
          <w:tcPr>
            <w:tcW w:type="dxa" w:w="1872"/>
          </w:tcPr>
          <w:p>
            <w:pPr>
              <w:jc w:val="left"/>
            </w:pPr>
            <w:r>
              <w:rPr>
                <w:rFonts w:ascii="Arial" w:hAnsi="Arial"/>
                <w:sz w:val="19"/>
              </w:rPr>
              <w:t>/api/emails/{id}</w:t>
            </w:r>
          </w:p>
        </w:tc>
        <w:tc>
          <w:tcPr>
            <w:tcW w:type="dxa" w:w="1872"/>
          </w:tcPr>
          <w:p>
            <w:pPr>
              <w:jc w:val="left"/>
            </w:pPr>
            <w:r>
              <w:rPr>
                <w:rFonts w:ascii="Arial" w:hAnsi="Arial"/>
                <w:sz w:val="19"/>
              </w:rPr>
              <w:t>Fetch email details</w:t>
            </w:r>
          </w:p>
        </w:tc>
        <w:tc>
          <w:tcPr>
            <w:tcW w:type="dxa" w:w="1872"/>
          </w:tcPr>
          <w:p>
            <w:pPr>
              <w:jc w:val="left"/>
            </w:pPr>
            <w:r>
              <w:rPr>
                <w:rFonts w:ascii="Arial" w:hAnsi="Arial"/>
                <w:sz w:val="19"/>
              </w:rPr>
              <w:t>id (path parameter)</w:t>
            </w:r>
          </w:p>
        </w:tc>
        <w:tc>
          <w:tcPr>
            <w:tcW w:type="dxa" w:w="1872"/>
          </w:tcPr>
          <w:p>
            <w:pPr>
              <w:jc w:val="left"/>
            </w:pPr>
            <w:r>
              <w:rPr>
                <w:rFonts w:ascii="Arial" w:hAnsi="Arial"/>
                <w:sz w:val="19"/>
              </w:rPr>
              <w:t>Email subject, body, snippet</w:t>
            </w:r>
          </w:p>
        </w:tc>
      </w:tr>
      <w:tr>
        <w:tc>
          <w:tcPr>
            <w:tcW w:type="dxa" w:w="1872"/>
          </w:tcPr>
          <w:p>
            <w:pPr>
              <w:jc w:val="left"/>
            </w:pPr>
            <w:r>
              <w:rPr>
                <w:rFonts w:ascii="Arial" w:hAnsi="Arial"/>
                <w:sz w:val="19"/>
              </w:rPr>
              <w:t>POST</w:t>
            </w:r>
          </w:p>
        </w:tc>
        <w:tc>
          <w:tcPr>
            <w:tcW w:type="dxa" w:w="1872"/>
          </w:tcPr>
          <w:p>
            <w:pPr>
              <w:jc w:val="left"/>
            </w:pPr>
            <w:r>
              <w:rPr>
                <w:rFonts w:ascii="Arial" w:hAnsi="Arial"/>
                <w:sz w:val="19"/>
              </w:rPr>
              <w:t>/api/emails/{id}/reply</w:t>
            </w:r>
          </w:p>
        </w:tc>
        <w:tc>
          <w:tcPr>
            <w:tcW w:type="dxa" w:w="1872"/>
          </w:tcPr>
          <w:p>
            <w:pPr>
              <w:jc w:val="left"/>
            </w:pPr>
            <w:r>
              <w:rPr>
                <w:rFonts w:ascii="Arial" w:hAnsi="Arial"/>
                <w:sz w:val="19"/>
              </w:rPr>
              <w:t>Trigger manual AI reply</w:t>
            </w:r>
          </w:p>
        </w:tc>
        <w:tc>
          <w:tcPr>
            <w:tcW w:type="dxa" w:w="1872"/>
          </w:tcPr>
          <w:p>
            <w:pPr>
              <w:jc w:val="left"/>
            </w:pPr>
            <w:r>
              <w:rPr>
                <w:rFonts w:ascii="Arial" w:hAnsi="Arial"/>
                <w:sz w:val="19"/>
              </w:rPr>
              <w:t>id (path), body (json optional)</w:t>
            </w:r>
          </w:p>
        </w:tc>
        <w:tc>
          <w:tcPr>
            <w:tcW w:type="dxa" w:w="1872"/>
          </w:tcPr>
          <w:p>
            <w:pPr>
              <w:jc w:val="left"/>
            </w:pPr>
            <w:r>
              <w:rPr>
                <w:rFonts w:ascii="Arial" w:hAnsi="Arial"/>
                <w:sz w:val="19"/>
              </w:rPr>
              <w:t>{"status": "replied", "body": "..."}</w:t>
            </w:r>
          </w:p>
        </w:tc>
      </w:tr>
      <w:tr>
        <w:tc>
          <w:tcPr>
            <w:tcW w:type="dxa" w:w="1872"/>
          </w:tcPr>
          <w:p>
            <w:pPr>
              <w:jc w:val="left"/>
            </w:pPr>
            <w:r>
              <w:rPr>
                <w:rFonts w:ascii="Arial" w:hAnsi="Arial"/>
                <w:sz w:val="19"/>
              </w:rPr>
              <w:t>POST</w:t>
            </w:r>
          </w:p>
        </w:tc>
        <w:tc>
          <w:tcPr>
            <w:tcW w:type="dxa" w:w="1872"/>
          </w:tcPr>
          <w:p>
            <w:pPr>
              <w:jc w:val="left"/>
            </w:pPr>
            <w:r>
              <w:rPr>
                <w:rFonts w:ascii="Arial" w:hAnsi="Arial"/>
                <w:sz w:val="19"/>
              </w:rPr>
              <w:t>/api/emails/auto-reply</w:t>
            </w:r>
          </w:p>
        </w:tc>
        <w:tc>
          <w:tcPr>
            <w:tcW w:type="dxa" w:w="1872"/>
          </w:tcPr>
          <w:p>
            <w:pPr>
              <w:jc w:val="left"/>
            </w:pPr>
            <w:r>
              <w:rPr>
                <w:rFonts w:ascii="Arial" w:hAnsi="Arial"/>
                <w:sz w:val="19"/>
              </w:rPr>
              <w:t>Trigger full auto-reply scan</w:t>
            </w:r>
          </w:p>
        </w:tc>
        <w:tc>
          <w:tcPr>
            <w:tcW w:type="dxa" w:w="1872"/>
          </w:tcPr>
          <w:p>
            <w:pPr>
              <w:jc w:val="left"/>
            </w:pPr>
            <w:r>
              <w:rPr>
                <w:rFonts w:ascii="Arial" w:hAnsi="Arial"/>
                <w:sz w:val="19"/>
              </w:rPr>
              <w:t>None</w:t>
            </w:r>
          </w:p>
        </w:tc>
        <w:tc>
          <w:tcPr>
            <w:tcW w:type="dxa" w:w="1872"/>
          </w:tcPr>
          <w:p>
            <w:pPr>
              <w:jc w:val="left"/>
            </w:pPr>
            <w:r>
              <w:rPr>
                <w:rFonts w:ascii="Arial" w:hAnsi="Arial"/>
                <w:sz w:val="19"/>
              </w:rPr>
              <w:t>{"status": "completed", "processed": N}</w:t>
            </w:r>
          </w:p>
        </w:tc>
      </w:tr>
      <w:tr>
        <w:tc>
          <w:tcPr>
            <w:tcW w:type="dxa" w:w="1872"/>
          </w:tcPr>
          <w:p>
            <w:pPr>
              <w:jc w:val="left"/>
            </w:pPr>
            <w:r>
              <w:rPr>
                <w:rFonts w:ascii="Arial" w:hAnsi="Arial"/>
                <w:sz w:val="19"/>
              </w:rPr>
              <w:t>GET</w:t>
            </w:r>
          </w:p>
        </w:tc>
        <w:tc>
          <w:tcPr>
            <w:tcW w:type="dxa" w:w="1872"/>
          </w:tcPr>
          <w:p>
            <w:pPr>
              <w:jc w:val="left"/>
            </w:pPr>
            <w:r>
              <w:rPr>
                <w:rFonts w:ascii="Arial" w:hAnsi="Arial"/>
                <w:sz w:val="19"/>
              </w:rPr>
              <w:t>/api/emails/search</w:t>
            </w:r>
          </w:p>
        </w:tc>
        <w:tc>
          <w:tcPr>
            <w:tcW w:type="dxa" w:w="1872"/>
          </w:tcPr>
          <w:p>
            <w:pPr>
              <w:jc w:val="left"/>
            </w:pPr>
            <w:r>
              <w:rPr>
                <w:rFonts w:ascii="Arial" w:hAnsi="Arial"/>
                <w:sz w:val="19"/>
              </w:rPr>
              <w:t>Search email logs</w:t>
            </w:r>
          </w:p>
        </w:tc>
        <w:tc>
          <w:tcPr>
            <w:tcW w:type="dxa" w:w="1872"/>
          </w:tcPr>
          <w:p>
            <w:pPr>
              <w:jc w:val="left"/>
            </w:pPr>
            <w:r>
              <w:rPr>
                <w:rFonts w:ascii="Arial" w:hAnsi="Arial"/>
                <w:sz w:val="19"/>
              </w:rPr>
              <w:t>q (query string search)</w:t>
            </w:r>
          </w:p>
        </w:tc>
        <w:tc>
          <w:tcPr>
            <w:tcW w:type="dxa" w:w="1872"/>
          </w:tcPr>
          <w:p>
            <w:pPr>
              <w:jc w:val="left"/>
            </w:pPr>
            <w:r>
              <w:rPr>
                <w:rFonts w:ascii="Arial" w:hAnsi="Arial"/>
                <w:sz w:val="19"/>
              </w:rPr>
              <w:t>List of matching database rows</w:t>
            </w:r>
          </w:p>
        </w:tc>
      </w:tr>
      <w:tr>
        <w:tc>
          <w:tcPr>
            <w:tcW w:type="dxa" w:w="1872"/>
          </w:tcPr>
          <w:p>
            <w:pPr>
              <w:jc w:val="left"/>
            </w:pPr>
            <w:r>
              <w:rPr>
                <w:rFonts w:ascii="Arial" w:hAnsi="Arial"/>
                <w:sz w:val="19"/>
              </w:rPr>
              <w:t>POST</w:t>
            </w:r>
          </w:p>
        </w:tc>
        <w:tc>
          <w:tcPr>
            <w:tcW w:type="dxa" w:w="1872"/>
          </w:tcPr>
          <w:p>
            <w:pPr>
              <w:jc w:val="left"/>
            </w:pPr>
            <w:r>
              <w:rPr>
                <w:rFonts w:ascii="Arial" w:hAnsi="Arial"/>
                <w:sz w:val="19"/>
              </w:rPr>
              <w:t>/api/settings/toggle</w:t>
            </w:r>
          </w:p>
        </w:tc>
        <w:tc>
          <w:tcPr>
            <w:tcW w:type="dxa" w:w="1872"/>
          </w:tcPr>
          <w:p>
            <w:pPr>
              <w:jc w:val="left"/>
            </w:pPr>
            <w:r>
              <w:rPr>
                <w:rFonts w:ascii="Arial" w:hAnsi="Arial"/>
                <w:sz w:val="19"/>
              </w:rPr>
              <w:t>Toggle auto-reply engine</w:t>
            </w:r>
          </w:p>
        </w:tc>
        <w:tc>
          <w:tcPr>
            <w:tcW w:type="dxa" w:w="1872"/>
          </w:tcPr>
          <w:p>
            <w:pPr>
              <w:jc w:val="left"/>
            </w:pPr>
            <w:r>
              <w:rPr>
                <w:rFonts w:ascii="Arial" w:hAnsi="Arial"/>
                <w:sz w:val="19"/>
              </w:rPr>
              <w:t>is_on (boolean body)</w:t>
            </w:r>
          </w:p>
        </w:tc>
        <w:tc>
          <w:tcPr>
            <w:tcW w:type="dxa" w:w="1872"/>
          </w:tcPr>
          <w:p>
            <w:pPr>
              <w:jc w:val="left"/>
            </w:pPr>
            <w:r>
              <w:rPr>
                <w:rFonts w:ascii="Arial" w:hAnsi="Arial"/>
                <w:sz w:val="19"/>
              </w:rPr>
              <w:t>{"status": "success", "is_on": boolean}</w:t>
            </w:r>
          </w:p>
        </w:tc>
      </w:tr>
    </w:tbl>
    <w:p>
      <w:pPr>
        <w:spacing w:after="240"/>
      </w:pPr>
    </w:p>
    <w:p>
      <w:r>
        <w:br w:type="page"/>
      </w:r>
    </w:p>
    <w:p>
      <w:pPr>
        <w:keepNext/>
        <w:spacing w:before="360" w:after="120"/>
      </w:pPr>
      <w:r>
        <w:rPr>
          <w:rFonts w:ascii="Arial" w:hAnsi="Arial"/>
          <w:b/>
          <w:color w:val="1B365D"/>
          <w:sz w:val="36"/>
        </w:rPr>
        <w:t>6. Working Implementation Screenshots</w:t>
      </w:r>
    </w:p>
    <w:p>
      <w:pPr>
        <w:spacing w:after="120" w:line="276" w:lineRule="auto"/>
      </w:pPr>
      <w:r>
        <w:rPr>
          <w:rFonts w:ascii="Arial" w:hAnsi="Arial"/>
          <w:color w:val="333333"/>
          <w:sz w:val="21"/>
        </w:rPr>
        <w:t>This section features screenshots captured from the live application showing the frontend web control dashboard, the AI response history logs, and the email metadata modal popup interface.</w:t>
      </w:r>
    </w:p>
    <w:p>
      <w:pPr>
        <w:keepNext/>
        <w:spacing w:before="360" w:after="120"/>
      </w:pPr>
      <w:r>
        <w:rPr>
          <w:rFonts w:ascii="Arial" w:hAnsi="Arial"/>
          <w:b/>
          <w:color w:val="3B5998"/>
          <w:sz w:val="28"/>
        </w:rPr>
        <w:t>6.1 Main Dashboard &amp; Inbox View</w:t>
      </w:r>
    </w:p>
    <w:p>
      <w:pPr>
        <w:spacing w:after="120" w:line="276" w:lineRule="auto"/>
      </w:pPr>
      <w:r>
        <w:rPr>
          <w:rFonts w:ascii="Arial" w:hAnsi="Arial"/>
          <w:color w:val="333333"/>
          <w:sz w:val="21"/>
        </w:rPr>
        <w:t>The primary view displays the system status, email counters, and the live control toggle. Under the 'Mail Inbox' tab, users can inspect all captured inbox emails sorted in reverse chronological order.</w:t>
      </w:r>
    </w:p>
    <w:p>
      <w:pPr>
        <w:spacing w:before="160" w:after="80"/>
        <w:jc w:val="center"/>
      </w:pPr>
      <w:r>
        <w:drawing>
          <wp:inline xmlns:a="http://schemas.openxmlformats.org/drawingml/2006/main" xmlns:pic="http://schemas.openxmlformats.org/drawingml/2006/picture">
            <wp:extent cx="5303520" cy="13818841"/>
            <wp:docPr id="1" name="Picture 1"/>
            <wp:cNvGraphicFramePr>
              <a:graphicFrameLocks noChangeAspect="1"/>
            </wp:cNvGraphicFramePr>
            <a:graphic>
              <a:graphicData uri="http://schemas.openxmlformats.org/drawingml/2006/picture">
                <pic:pic>
                  <pic:nvPicPr>
                    <pic:cNvPr id="0" name="dashboard_inbox.png"/>
                    <pic:cNvPicPr/>
                  </pic:nvPicPr>
                  <pic:blipFill>
                    <a:blip r:embed="rId9"/>
                    <a:stretch>
                      <a:fillRect/>
                    </a:stretch>
                  </pic:blipFill>
                  <pic:spPr>
                    <a:xfrm>
                      <a:off x="0" y="0"/>
                      <a:ext cx="5303520" cy="13818841"/>
                    </a:xfrm>
                    <a:prstGeom prst="rect"/>
                  </pic:spPr>
                </pic:pic>
              </a:graphicData>
            </a:graphic>
          </wp:inline>
        </w:drawing>
      </w:r>
    </w:p>
    <w:p>
      <w:pPr>
        <w:keepNext/>
        <w:spacing w:after="240"/>
        <w:jc w:val="center"/>
      </w:pPr>
      <w:r>
        <w:rPr>
          <w:rFonts w:ascii="Arial" w:hAnsi="Arial"/>
          <w:i/>
          <w:color w:val="666666"/>
          <w:sz w:val="19"/>
        </w:rPr>
        <w:t>Figure: AI Email Agent Dashboard — Mail Inbox view showing live indicators, statistics row, and database sync.</w:t>
      </w:r>
    </w:p>
    <w:p>
      <w:pPr>
        <w:keepNext/>
        <w:spacing w:before="360" w:after="120"/>
      </w:pPr>
      <w:r>
        <w:rPr>
          <w:rFonts w:ascii="Arial" w:hAnsi="Arial"/>
          <w:b/>
          <w:color w:val="3B5998"/>
          <w:sz w:val="28"/>
        </w:rPr>
        <w:t>6.2 AI Replies Log View</w:t>
      </w:r>
    </w:p>
    <w:p>
      <w:pPr>
        <w:spacing w:after="120" w:line="276" w:lineRule="auto"/>
      </w:pPr>
      <w:r>
        <w:rPr>
          <w:rFonts w:ascii="Arial" w:hAnsi="Arial"/>
          <w:color w:val="333333"/>
          <w:sz w:val="21"/>
        </w:rPr>
        <w:t>Selecting the 'AI Replies' tab switches the bottom workspace list to the list of successfully sent auto-replies, complete with details about the receiver, subject lines, and the exact timestamps of execution.</w:t>
      </w:r>
    </w:p>
    <w:p>
      <w:pPr>
        <w:spacing w:before="160" w:after="80"/>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dashboard_replies.png"/>
                    <pic:cNvPicPr/>
                  </pic:nvPicPr>
                  <pic:blipFill>
                    <a:blip r:embed="rId10"/>
                    <a:stretch>
                      <a:fillRect/>
                    </a:stretch>
                  </pic:blipFill>
                  <pic:spPr>
                    <a:xfrm>
                      <a:off x="0" y="0"/>
                      <a:ext cx="5303520" cy="2519172"/>
                    </a:xfrm>
                    <a:prstGeom prst="rect"/>
                  </pic:spPr>
                </pic:pic>
              </a:graphicData>
            </a:graphic>
          </wp:inline>
        </w:drawing>
      </w:r>
    </w:p>
    <w:p>
      <w:pPr>
        <w:keepNext/>
        <w:spacing w:after="240"/>
        <w:jc w:val="center"/>
      </w:pPr>
      <w:r>
        <w:rPr>
          <w:rFonts w:ascii="Arial" w:hAnsi="Arial"/>
          <w:i/>
          <w:color w:val="666666"/>
          <w:sz w:val="19"/>
        </w:rPr>
        <w:t>Figure: AI Email Agent Dashboard — AI Replies Log history view tracking sent email logs.</w:t>
      </w:r>
    </w:p>
    <w:p>
      <w:pPr>
        <w:keepNext/>
        <w:spacing w:before="360" w:after="120"/>
      </w:pPr>
      <w:r>
        <w:rPr>
          <w:rFonts w:ascii="Arial" w:hAnsi="Arial"/>
          <w:b/>
          <w:color w:val="3B5998"/>
          <w:sz w:val="28"/>
        </w:rPr>
        <w:t>6.3 AI Draft Preview Modal Interface</w:t>
      </w:r>
    </w:p>
    <w:p>
      <w:pPr>
        <w:spacing w:after="120" w:line="276" w:lineRule="auto"/>
      </w:pPr>
      <w:r>
        <w:rPr>
          <w:rFonts w:ascii="Arial" w:hAnsi="Arial"/>
          <w:color w:val="333333"/>
          <w:sz w:val="21"/>
        </w:rPr>
        <w:t>Clicking on any log entry displays a modal window overlay. This displays the full generated AI response body, allowing the operator to read what the agent drafted for that email.</w:t>
      </w:r>
    </w:p>
    <w:p>
      <w:pPr>
        <w:spacing w:before="160" w:after="80"/>
        <w:jc w:val="center"/>
      </w:pPr>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detail_modal.png"/>
                    <pic:cNvPicPr/>
                  </pic:nvPicPr>
                  <pic:blipFill>
                    <a:blip r:embed="rId11"/>
                    <a:stretch>
                      <a:fillRect/>
                    </a:stretch>
                  </pic:blipFill>
                  <pic:spPr>
                    <a:xfrm>
                      <a:off x="0" y="0"/>
                      <a:ext cx="5303520" cy="2519172"/>
                    </a:xfrm>
                    <a:prstGeom prst="rect"/>
                  </pic:spPr>
                </pic:pic>
              </a:graphicData>
            </a:graphic>
          </wp:inline>
        </w:drawing>
      </w:r>
    </w:p>
    <w:p>
      <w:pPr>
        <w:keepNext/>
        <w:spacing w:after="240"/>
        <w:jc w:val="center"/>
      </w:pPr>
      <w:r>
        <w:rPr>
          <w:rFonts w:ascii="Arial" w:hAnsi="Arial"/>
          <w:i/>
          <w:color w:val="666666"/>
          <w:sz w:val="19"/>
        </w:rPr>
        <w:t>Figure: AI Email Agent Dashboard — Detail Modal rendering full AI response draft and email headers.</w:t>
      </w:r>
    </w:p>
    <w:p>
      <w:r>
        <w:br w:type="page"/>
      </w:r>
    </w:p>
    <w:p>
      <w:pPr>
        <w:keepNext/>
        <w:spacing w:before="360" w:after="120"/>
      </w:pPr>
      <w:r>
        <w:rPr>
          <w:rFonts w:ascii="Arial" w:hAnsi="Arial"/>
          <w:b/>
          <w:color w:val="1B365D"/>
          <w:sz w:val="36"/>
        </w:rPr>
        <w:t>7. Technical Challenges &amp; Solutions</w:t>
      </w:r>
    </w:p>
    <w:p>
      <w:pPr>
        <w:spacing w:after="120" w:line="276" w:lineRule="auto"/>
      </w:pPr>
      <w:r>
        <w:rPr>
          <w:rFonts w:ascii="Arial" w:hAnsi="Arial"/>
          <w:color w:val="333333"/>
          <w:sz w:val="21"/>
        </w:rPr>
        <w:t>During the implementation, several engineering challenges were encountered and solved:</w:t>
      </w:r>
    </w:p>
    <w:p>
      <w:pPr>
        <w:spacing w:after="120" w:line="276" w:lineRule="auto"/>
      </w:pPr>
      <w:r>
        <w:rPr>
          <w:rFonts w:ascii="Arial" w:hAnsi="Arial"/>
          <w:b/>
          <w:color w:val="222222"/>
          <w:sz w:val="21"/>
        </w:rPr>
        <w:t xml:space="preserve">Challenge 1: Google OAuth Caching &amp; Re-authorization. </w:t>
      </w:r>
      <w:r>
        <w:rPr>
          <w:rFonts w:ascii="Arial" w:hAnsi="Arial"/>
          <w:color w:val="333333"/>
          <w:sz w:val="21"/>
        </w:rPr>
        <w:t>Connecting to Gmail API from local development servers requires Google OAuth consent. Since the refresh tokens expire if left inactive or if permissions change, we designed a file-cached token flow (`token.json`). On first launch, if no token is found, a browser consent screen opens. The user approves, and the server saves a serialized token. Subsequent calls use this token, refreshing it automatically if expired.</w:t>
      </w:r>
    </w:p>
    <w:p>
      <w:pPr>
        <w:spacing w:after="120" w:line="276" w:lineRule="auto"/>
      </w:pPr>
      <w:r>
        <w:rPr>
          <w:rFonts w:ascii="Arial" w:hAnsi="Arial"/>
          <w:b/>
          <w:color w:val="222222"/>
          <w:sz w:val="21"/>
        </w:rPr>
        <w:t xml:space="preserve">Challenge 2: State Sync &amp; Performance Optimization. </w:t>
      </w:r>
      <w:r>
        <w:rPr>
          <w:rFonts w:ascii="Arial" w:hAnsi="Arial"/>
          <w:color w:val="333333"/>
          <w:sz w:val="21"/>
        </w:rPr>
        <w:t>Integrating a dashboard with dynamic content requires background updates. If frontend code polls the backend continuously, it creates unnecessary network traffic. We optimized this by incorporating an SQLite-backed status cache. The background worker thread updates database entries, and the frontend queries a single light status endpoint to decide if it should re-fetch mail items, minimizing resource utilization.</w:t>
      </w:r>
    </w:p>
    <w:p>
      <w:pPr>
        <w:spacing w:after="120" w:line="276" w:lineRule="auto"/>
      </w:pPr>
      <w:r>
        <w:rPr>
          <w:rFonts w:ascii="Arial" w:hAnsi="Arial"/>
          <w:b/>
          <w:color w:val="222222"/>
          <w:sz w:val="21"/>
        </w:rPr>
        <w:t xml:space="preserve">Challenge 3: Background Worker Reliability &amp; Thread Concurrency. </w:t>
      </w:r>
      <w:r>
        <w:rPr>
          <w:rFonts w:ascii="Arial" w:hAnsi="Arial"/>
          <w:color w:val="333333"/>
          <w:sz w:val="21"/>
        </w:rPr>
        <w:t>If a thread is locked due to an API timeout, it can crash the web dashboard. We solved this by using asyncio tasks with cooperative multi-tasking. The background worker is mounted as an independent async lifespan task that runs alongside FastAPI, allowing non-blocking concurrent request routing.</w:t>
      </w:r>
    </w:p>
    <w:p>
      <w:pPr>
        <w:keepNext/>
        <w:spacing w:before="360" w:after="120"/>
      </w:pPr>
      <w:r>
        <w:rPr>
          <w:rFonts w:ascii="Arial" w:hAnsi="Arial"/>
          <w:b/>
          <w:color w:val="1B365D"/>
          <w:sz w:val="36"/>
        </w:rPr>
        <w:t>8. Future Enhancements &amp; Extensions</w:t>
      </w:r>
    </w:p>
    <w:p>
      <w:pPr>
        <w:pStyle w:val="ListBullet"/>
        <w:spacing w:after="80" w:line="276" w:lineRule="auto"/>
      </w:pPr>
      <w:r>
        <w:rPr>
          <w:rFonts w:ascii="Arial" w:hAnsi="Arial"/>
          <w:b/>
          <w:color w:val="222222"/>
          <w:sz w:val="21"/>
        </w:rPr>
        <w:t xml:space="preserve">Human-in-the-Loop Review: </w:t>
      </w:r>
      <w:r>
        <w:rPr>
          <w:rFonts w:ascii="Arial" w:hAnsi="Arial"/>
          <w:color w:val="333333"/>
          <w:sz w:val="21"/>
        </w:rPr>
        <w:t>Add a draft review step where replies are held in a pending queue until approved by a human agent.</w:t>
      </w:r>
    </w:p>
    <w:p>
      <w:pPr>
        <w:pStyle w:val="ListBullet"/>
        <w:spacing w:after="80" w:line="276" w:lineRule="auto"/>
      </w:pPr>
      <w:r>
        <w:rPr>
          <w:rFonts w:ascii="Arial" w:hAnsi="Arial"/>
          <w:b/>
          <w:color w:val="222222"/>
          <w:sz w:val="21"/>
        </w:rPr>
        <w:t xml:space="preserve">Granular Settings: </w:t>
      </w:r>
      <w:r>
        <w:rPr>
          <w:rFonts w:ascii="Arial" w:hAnsi="Arial"/>
          <w:color w:val="333333"/>
          <w:sz w:val="21"/>
        </w:rPr>
        <w:t>Provide options to customize custom rules, skip words, and specific responder tones per email folder/label.</w:t>
      </w:r>
    </w:p>
    <w:p>
      <w:pPr>
        <w:pStyle w:val="ListBullet"/>
        <w:spacing w:after="80" w:line="276" w:lineRule="auto"/>
      </w:pPr>
      <w:r>
        <w:rPr>
          <w:rFonts w:ascii="Arial" w:hAnsi="Arial"/>
          <w:b/>
          <w:color w:val="222222"/>
          <w:sz w:val="21"/>
        </w:rPr>
        <w:t xml:space="preserve">Multi-Provider Mail Support: </w:t>
      </w:r>
      <w:r>
        <w:rPr>
          <w:rFonts w:ascii="Arial" w:hAnsi="Arial"/>
          <w:color w:val="333333"/>
          <w:sz w:val="21"/>
        </w:rPr>
        <w:t>Implement support for IMAP/SMTP and Outlook Graph API, opening the platform to users outside the Google ecosystem.</w:t>
      </w:r>
    </w:p>
    <w:p>
      <w:pPr>
        <w:pStyle w:val="ListBullet"/>
        <w:spacing w:after="80" w:line="276" w:lineRule="auto"/>
      </w:pPr>
      <w:r>
        <w:rPr>
          <w:rFonts w:ascii="Arial" w:hAnsi="Arial"/>
          <w:b/>
          <w:color w:val="222222"/>
          <w:sz w:val="21"/>
        </w:rPr>
        <w:t xml:space="preserve">Local LLM Integration: </w:t>
      </w:r>
      <w:r>
        <w:rPr>
          <w:rFonts w:ascii="Arial" w:hAnsi="Arial"/>
          <w:color w:val="333333"/>
          <w:sz w:val="21"/>
        </w:rPr>
        <w:t>Utilize local LLMs (via Ollama or Llama.cpp) to run email processing fully offline, lowering API usage expenses and protecting private data.</w:t>
      </w:r>
    </w:p>
    <w:p>
      <w:pPr>
        <w:keepNext/>
        <w:spacing w:before="360" w:after="120"/>
      </w:pPr>
      <w:r>
        <w:rPr>
          <w:rFonts w:ascii="Arial" w:hAnsi="Arial"/>
          <w:b/>
          <w:color w:val="1B365D"/>
          <w:sz w:val="36"/>
        </w:rPr>
        <w:t>9. Conclusion &amp; Experience Gained</w:t>
      </w:r>
    </w:p>
    <w:p>
      <w:pPr>
        <w:spacing w:after="120" w:line="276" w:lineRule="auto"/>
      </w:pPr>
      <w:r>
        <w:rPr>
          <w:rFonts w:ascii="Arial" w:hAnsi="Arial"/>
          <w:color w:val="333333"/>
          <w:sz w:val="21"/>
        </w:rPr>
        <w:t>This internship project has successfully demonstrated the viability of using LLMs and modern protocol architectures to automate office productivity tasks. The AI Email Agent is fully functional, secure, and ready for deployment. Through this engineering process, I gained deep hands-on experience in API integrations, OAuth authentication, SQLite database schemas, background thread workers in python web servers, and building elegant modern CSS/JS interfaces.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