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Lumen Row Project Documentation</w:t>
      </w:r>
    </w:p>
    <w:p>
      <w:r>
        <w:t>A human reviewed data quality agent built with Python, LangChain and LangGraph</w:t>
      </w:r>
    </w:p>
    <w:p>
      <w:r>
        <w:t>Author: Krishna Kallamadi | Prepared 25 October 2026</w:t>
      </w:r>
    </w:p>
    <w:p>
      <w:pPr>
        <w:pStyle w:val="Heading1"/>
      </w:pPr>
      <w:r>
        <w:t>The Primer: Your one-liner</w:t>
      </w:r>
    </w:p>
    <w:p>
      <w:r>
        <w:t>Lumen Row helps data operations analysts turn customer tables into validated CSV imports in a local review workspace, replacing manual checking and spreadsheet correction; it uses four read-only tools autonomously, retains original files, rules, plans and approval checkpoints locally until deletion, and requires human approval before staging repairs and exporting, with a target of completing at least 9 of 10 known test scenarios within five minutes each.</w:t>
      </w:r>
    </w:p>
    <w:p>
      <w:r>
        <w:t>The target measures the complete journey to a checked output. The current ten-case evaluation uses fictional data and scripted human decisions; it does not measure real user deliberation or live-model accuracy.</w:t>
      </w:r>
    </w:p>
    <w:p>
      <w:pPr>
        <w:pStyle w:val="Heading1"/>
      </w:pPr>
      <w:r>
        <w:t>Project overview</w:t>
      </w:r>
    </w:p>
    <w:p>
      <w:r>
        <w:t>Customer imports often fail because dates use different formats, countries use inconsistent labels, identifiers are missing, or rows are duplicated. Lumen Row makes those problems visible, proposes traceable repairs, and asks the user for facts it cannot establish. A valid file must satisfy the declared rules and pass both approval gates before export.</w:t>
      </w:r>
    </w:p>
    <w:p>
      <w:pPr>
        <w:pStyle w:val="Heading1"/>
      </w:pPr>
      <w:r>
        <w:t>Scope</w:t>
      </w:r>
    </w:p>
    <w:p>
      <w:r>
        <w:t>This release accepts CSV, TSV, XLSX, flat JSON, JSONL and NDJSON, then normalizes one table for customer-import checks. It supports required fields, uniqueness, exact duplicates, declared date formats, category aliases, optional email syntax, conditional date bounds and export-safety checks. Output is a new CSV with an audit JSON and validation summary.</w:t>
      </w:r>
    </w:p>
    <w:p>
      <w:r>
        <w:t>The app runs for a trusted local user. Authentication, multi-user tenancy, fuzzy entity merging, nested JSON, OCR, PDF extraction and preserving Excel formatting are outside the current scope. It cannot establish a missing customer fact merely because a replacement would pass validation.</w:t>
      </w:r>
    </w:p>
    <w:p>
      <w:r>
        <w:t xml:space="preserve">GitHub repository: </w:t>
      </w:r>
      <w:hyperlink r:id="rId9">
        <w:r>
          <w:rPr>
            <w:color w:val="334F77"/>
          </w:rPr>
          <w:t>https://github.com/krish339-ai/DataQualityAgent</w:t>
        </w:r>
      </w:hyperlink>
    </w:p>
    <w:p>
      <w:r>
        <w:t xml:space="preserve">Author on LinkedIn: </w:t>
      </w:r>
      <w:hyperlink r:id="rId10">
        <w:r>
          <w:rPr>
            <w:color w:val="334F77"/>
          </w:rPr>
          <w:t>https://www.linkedin.com/in/krishna-kishore-kallamadi-a22b498/</w:t>
        </w:r>
      </w:hyperlink>
    </w:p>
    <w:p>
      <w:r>
        <w:br w:type="page"/>
      </w:r>
    </w:p>
    <w:p>
      <w:pPr>
        <w:pStyle w:val="Heading1"/>
      </w:pPr>
      <w:r>
        <w:t>The Framework</w:t>
      </w:r>
    </w:p>
    <w:p>
      <w:r>
        <w:t>The framework connects the user's task to the agent's actions, memory, boundaries and measurable outcome.</w:t>
      </w:r>
    </w:p>
    <w:tbl>
      <w:tblPr>
        <w:tblW w:type="auto" w:w="0"/>
        <w:tblLayout w:type="fixed"/>
        <w:tblLook w:firstColumn="1" w:firstRow="1" w:lastColumn="0" w:lastRow="0" w:noHBand="0" w:noVBand="1" w:val="04A0"/>
      </w:tblPr>
      <w:tblGrid>
        <w:gridCol w:w="2664"/>
        <w:gridCol w:w="7128"/>
      </w:tblGrid>
      <w:tr>
        <w:trPr>
          <w:cantSplit/>
          <w:tblHeader/>
        </w:trPr>
        <w:tc>
          <w:tcPr>
            <w:tcW w:type="dxa" w:w="2664"/>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Framework question</w:t>
            </w:r>
          </w:p>
        </w:tc>
        <w:tc>
          <w:tcPr>
            <w:tcW w:type="dxa" w:w="7128"/>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Implementation</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Agent goal</w:t>
            </w:r>
          </w:p>
        </w:tc>
        <w:tc>
          <w:tcPr>
            <w:tcW w:type="dxa" w:w="71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Turn a customer table into a validated import file with explicit repairs and a readable audit.</w:t>
            </w:r>
          </w:p>
        </w:tc>
      </w:tr>
      <w:tr>
        <w:trPr>
          <w:cantSplit/>
        </w:trPr>
        <w:tc>
          <w:tcPr>
            <w:tcW w:type="dxa" w:w="2664"/>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Where do people use it</w:t>
            </w:r>
          </w:p>
        </w:tc>
        <w:tc>
          <w:tcPr>
            <w:tcW w:type="dxa" w:w="7128"/>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A local Streamlit application with a product landing page, review hub, guided upload and saved reviews.</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What steps does it take in order</w:t>
            </w:r>
          </w:p>
        </w:tc>
        <w:tc>
          <w:tcPr>
            <w:tcW w:type="dxa" w:w="71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Import and preview; profile and validate; investigate; clarify and preview repairs; approve repairs; stage and revalidate; approve export; deliver CSV and audit.</w:t>
            </w:r>
          </w:p>
        </w:tc>
      </w:tr>
      <w:tr>
        <w:trPr>
          <w:cantSplit/>
        </w:trPr>
        <w:tc>
          <w:tcPr>
            <w:tcW w:type="dxa" w:w="2664"/>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What can it actually do</w:t>
            </w:r>
          </w:p>
        </w:tc>
        <w:tc>
          <w:tcPr>
            <w:tcW w:type="dxa" w:w="7128"/>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READ: profile_dataset, lookup_rules, validate_dataset and preview_repairs. WRITE: Engine.apply stages an approved copy; Engine.export produces approved deliverables. The two writes are guarded workflow actions, not model tools.</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What does it need to remember</w:t>
            </w:r>
          </w:p>
        </w:tc>
        <w:tc>
          <w:tcPr>
            <w:tcW w:type="dxa" w:w="71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SQLite saves workflow state and approval pauses; job files preserve source, rules, plans, staged data and audit until deletion. Unsaved edits stay in the current app session; submitting saves the proposal durably.</w:t>
            </w:r>
          </w:p>
        </w:tc>
      </w:tr>
      <w:tr>
        <w:trPr>
          <w:cantSplit/>
        </w:trPr>
        <w:tc>
          <w:tcPr>
            <w:tcW w:type="dxa" w:w="2664"/>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What should it never do</w:t>
            </w:r>
          </w:p>
        </w:tc>
        <w:tc>
          <w:tcPr>
            <w:tcW w:type="dxa" w:w="7128"/>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Invent missing IDs or country facts, execute model-supplied code, overwrite the original, skip approval, export with blockers or expose unrelated customer fields to the model.</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Human in the loop</w:t>
            </w:r>
          </w:p>
        </w:tc>
        <w:tc>
          <w:tcPr>
            <w:tcW w:type="dxa" w:w="71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A user supplies unknown facts and reviews the exact plan before staging. A second approval authorizes export; optional value suggestions need a payload preview and fresh consent.</w:t>
            </w:r>
          </w:p>
        </w:tc>
      </w:tr>
      <w:tr>
        <w:trPr>
          <w:cantSplit/>
        </w:trPr>
        <w:tc>
          <w:tcPr>
            <w:tcW w:type="dxa" w:w="2664"/>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What happens when something breaks</w:t>
            </w:r>
          </w:p>
        </w:tc>
        <w:tc>
          <w:tcPr>
            <w:tcW w:type="dxa" w:w="7128"/>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Bounded retries and decision budgets stop runaway model calls. Local findings remain visible and eligible investigation failures offer manual correction; invalid or stale approvals prevent writes.</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How do you know it worked</w:t>
            </w:r>
          </w:p>
        </w:tc>
        <w:tc>
          <w:tcPr>
            <w:tcW w:type="dxa" w:w="71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The final output matches expected records, passes every blocking check and has an audit. The target is at least 9 of 10 known end-to-end cases completed within five minutes each, with scripted decisions in the automated harness.</w:t>
            </w:r>
          </w:p>
        </w:tc>
      </w:tr>
    </w:tbl>
    <w:p>
      <w:pPr>
        <w:spacing w:after="20"/>
      </w:pPr>
    </w:p>
    <w:p>
      <w:r>
        <w:br w:type="page"/>
      </w:r>
    </w:p>
    <w:p>
      <w:pPr>
        <w:pStyle w:val="Heading1"/>
      </w:pPr>
      <w:r>
        <w:t>Architecture and implementation</w:t>
      </w:r>
    </w:p>
    <w:p>
      <w:r>
        <w:drawing>
          <wp:inline xmlns:a="http://schemas.openxmlformats.org/drawingml/2006/main" xmlns:pic="http://schemas.openxmlformats.org/drawingml/2006/picture">
            <wp:extent cx="6217920" cy="3264408"/>
            <wp:docPr id="1" name="Picture 1" descr="architecture.png"/>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3264408"/>
                    </a:xfrm>
                    <a:prstGeom prst="rect"/>
                  </pic:spPr>
                </pic:pic>
              </a:graphicData>
            </a:graphic>
          </wp:inline>
        </w:drawing>
      </w:r>
    </w:p>
    <w:p>
      <w:pPr>
        <w:pStyle w:val="Caption"/>
      </w:pPr>
      <w:r>
        <w:t>Figure 1. The model investigates; the workflow controls state and approvals; Python validates and writes.</w:t>
      </w:r>
    </w:p>
    <w:p>
      <w:r>
        <w:t>LangGraph is the coordinator. Its nodes are start, investigate, preview, clarify, approve_repairs, apply, revalidate, approve_export and export. Conditional branches route unresolved issues back to clarification. Interrupts pause execution for a user decision, and SQLite checkpoints allow that same job to resume.</w:t>
      </w:r>
    </w:p>
    <w:tbl>
      <w:tblPr>
        <w:tblW w:type="auto" w:w="0"/>
        <w:tblLayout w:type="fixed"/>
        <w:tblLook w:firstColumn="1" w:firstRow="1" w:lastColumn="0" w:lastRow="0" w:noHBand="0" w:noVBand="1" w:val="04A0"/>
      </w:tblPr>
      <w:tblGrid>
        <w:gridCol w:w="3600"/>
        <w:gridCol w:w="6192"/>
      </w:tblGrid>
      <w:tr>
        <w:trPr>
          <w:cantSplit/>
          <w:tblHeader/>
        </w:trPr>
        <w:tc>
          <w:tcPr>
            <w:tcW w:type="dxa" w:w="3600"/>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Component</w:t>
            </w:r>
          </w:p>
        </w:tc>
        <w:tc>
          <w:tcPr>
            <w:tcW w:type="dxa" w:w="6192"/>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Responsibility</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app.py</w:t>
            </w:r>
          </w:p>
        </w:tc>
        <w:tc>
          <w:tcPr>
            <w:tcW w:type="dxa" w:w="61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Upload wizard, named reviews, correction editors, approvals and downloads.</w:t>
            </w:r>
          </w:p>
        </w:tc>
      </w:tr>
      <w:tr>
        <w:trPr>
          <w:cantSplit/>
        </w:trPr>
        <w:tc>
          <w:tcPr>
            <w:tcW w:type="dxa" w:w="3600"/>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workflow.py and engine.py</w:t>
            </w:r>
          </w:p>
        </w:tc>
        <w:tc>
          <w:tcPr>
            <w:tcW w:type="dxa" w:w="6192"/>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Durable transitions, rule checks, source preservation and guarded writes.</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reasoning.py</w:t>
            </w:r>
          </w:p>
        </w:tc>
        <w:tc>
          <w:tcPr>
            <w:tcW w:type="dxa" w:w="61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LangChain tools, Nebius or Fireworks clients, bounded model investigation.</w:t>
            </w:r>
          </w:p>
        </w:tc>
      </w:tr>
      <w:tr>
        <w:trPr>
          <w:cantSplit/>
        </w:trPr>
        <w:tc>
          <w:tcPr>
            <w:tcW w:type="dxa" w:w="3600"/>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imports.py and schemas.py</w:t>
            </w:r>
          </w:p>
        </w:tc>
        <w:tc>
          <w:tcPr>
            <w:tcW w:type="dxa" w:w="6192"/>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Six input extensions, parser limits, normalized tables and rule contracts.</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assistance.py and value_suggestions.py</w:t>
            </w:r>
          </w:p>
        </w:tc>
        <w:tc>
          <w:tcPr>
            <w:tcW w:type="dxa" w:w="61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Rule-backed drafts, consented hypotheses and local validation of suggestions.</w:t>
            </w:r>
          </w:p>
        </w:tc>
      </w:tr>
      <w:tr>
        <w:trPr>
          <w:cantSplit/>
        </w:trPr>
        <w:tc>
          <w:tcPr>
            <w:tcW w:type="dxa" w:w="3600"/>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telemetry.py</w:t>
            </w:r>
          </w:p>
        </w:tc>
        <w:tc>
          <w:tcPr>
            <w:tcW w:type="dxa" w:w="6192"/>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Optional aggregate LangSmith summaries; full customer-state tracing is disabled.</w:t>
            </w:r>
          </w:p>
        </w:tc>
      </w:tr>
    </w:tbl>
    <w:p>
      <w:pPr>
        <w:spacing w:after="20"/>
      </w:pPr>
    </w:p>
    <w:p>
      <w:r>
        <w:t>A single tool-using investigator is sufficient for this scope. The design does not require a team of autonomous agents, web search, vector retrieval or Mem0. The persistent business workflow is the key agentic behavior.</w:t>
      </w:r>
    </w:p>
    <w:p>
      <w:r>
        <w:br w:type="page"/>
      </w:r>
    </w:p>
    <w:p>
      <w:pPr>
        <w:pStyle w:val="Heading1"/>
      </w:pPr>
      <w:r>
        <w:t>Approvals memory and failure recovery</w:t>
      </w:r>
    </w:p>
    <w:p>
      <w:r>
        <w:t>A proposal is an intended change, not permission to write. The user can revise a draft and inspect its before-and-after result before saving it for review. Repair approval binds to the job, original source, rules and exact plan; changing any of them invalidates the old permission.</w:t>
      </w:r>
    </w:p>
    <w:p>
      <w:r>
        <w:t>Python creates a separate staged copy after repair approval and validates it again. Export approval additionally checks the staged bytes. A failed validation or stale approval stops the write path. The original file remains available throughout.</w:t>
      </w:r>
    </w:p>
    <w:tbl>
      <w:tblPr>
        <w:tblW w:type="auto" w:w="0"/>
        <w:tblLayout w:type="fixed"/>
        <w:tblLook w:firstColumn="1" w:firstRow="1" w:lastColumn="0" w:lastRow="0" w:noHBand="0" w:noVBand="1" w:val="04A0"/>
      </w:tblPr>
      <w:tblGrid>
        <w:gridCol w:w="3384"/>
        <w:gridCol w:w="6408"/>
      </w:tblGrid>
      <w:tr>
        <w:trPr>
          <w:cantSplit/>
          <w:tblHeader/>
        </w:trPr>
        <w:tc>
          <w:tcPr>
            <w:tcW w:type="dxa" w:w="3384"/>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Event</w:t>
            </w:r>
          </w:p>
        </w:tc>
        <w:tc>
          <w:tcPr>
            <w:tcW w:type="dxa" w:w="6408"/>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User-visible response</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Impossible date or unknown country</w:t>
            </w:r>
          </w:p>
        </w:tc>
        <w:tc>
          <w:tcPr>
            <w:tcW w:type="dxa" w:w="640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Show the blocking finding and ask for a known correction. Do not invent a date or infer a country from an unknown marker.</w:t>
            </w:r>
          </w:p>
        </w:tc>
      </w:tr>
      <w:tr>
        <w:trPr>
          <w:cantSplit/>
        </w:trPr>
        <w:tc>
          <w:tcPr>
            <w:tcW w:type="dxa" w:w="3384"/>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Model returns an invalid plan twice</w:t>
            </w:r>
          </w:p>
        </w:tc>
        <w:tc>
          <w:tcPr>
            <w:tcW w:type="dxa" w:w="6408"/>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Stop the investigation without changing data; show local findings and offer Continue with manual corrections when recovery is eligible.</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Provider timeout or rate limit</w:t>
            </w:r>
          </w:p>
        </w:tc>
        <w:tc>
          <w:tcPr>
            <w:tcW w:type="dxa" w:w="640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Retry transient errors up to three attempts. If exhausted, explain the failure and keep the saved job available.</w:t>
            </w:r>
          </w:p>
        </w:tc>
      </w:tr>
      <w:tr>
        <w:trPr>
          <w:cantSplit/>
        </w:trPr>
        <w:tc>
          <w:tcPr>
            <w:tcW w:type="dxa" w:w="3384"/>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Data or plan changes after approval</w:t>
            </w:r>
          </w:p>
        </w:tc>
        <w:tc>
          <w:tcPr>
            <w:tcW w:type="dxa" w:w="6408"/>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Reject the stale approval and require review of the new content.</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Reset a job</w:t>
            </w:r>
          </w:p>
        </w:tc>
        <w:tc>
          <w:tcPr>
            <w:tcW w:type="dxa" w:w="640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Create a fresh run from the original input and parsing choices. Keep the earlier run and require new approvals.</w:t>
            </w:r>
          </w:p>
        </w:tc>
      </w:tr>
      <w:tr>
        <w:trPr>
          <w:cantSplit/>
        </w:trPr>
        <w:tc>
          <w:tcPr>
            <w:tcW w:type="dxa" w:w="3384"/>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App restarts</w:t>
            </w:r>
          </w:p>
        </w:tc>
        <w:tc>
          <w:tcPr>
            <w:tcW w:type="dxa" w:w="6408"/>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Resume submitted plans and workflow checkpoints. Unsaved browser-session drafts are not promised across a restart.</w:t>
            </w:r>
          </w:p>
        </w:tc>
      </w:tr>
    </w:tbl>
    <w:p>
      <w:pPr>
        <w:spacing w:after="20"/>
      </w:pPr>
    </w:p>
    <w:p>
      <w:pPr>
        <w:pStyle w:val="Heading1"/>
      </w:pPr>
      <w:r>
        <w:t>Privacy and operating limits</w:t>
      </w:r>
    </w:p>
    <w:p>
      <w:r>
        <w:t>Initial investigation sends aggregate counts and opaque candidate references to the model. Optional corrected-value assistance shares affected field names, current values, issue types and relevant rules only after the user previews and authorizes that request. Unrelated columns and unsaved edits are excluded. Requests are limited to 20 affected cells and 32 KiB.</w:t>
      </w:r>
    </w:p>
    <w:p>
      <w:r>
        <w:t>Files and saved jobs stay under the local data directory until explicitly deleted. The model has no shell or write tool. Investigation has a 12-decision budget and at most four tool calls per decision. Imports are bounded to 10 MiB, 100,000 rows, 200 columns and one million cells, with additional parser expansion limits.</w:t>
      </w:r>
    </w:p>
    <w:p>
      <w:r>
        <w:br w:type="page"/>
      </w:r>
    </w:p>
    <w:p>
      <w:pPr>
        <w:pStyle w:val="Heading1"/>
      </w:pPr>
      <w:r>
        <w:t>Datasets and validation rules</w:t>
      </w:r>
    </w:p>
    <w:p>
      <w:r>
        <w:t>All committed examples are fictional and use illustrative email addresses. No real customer jobs, API credentials, local databases or generated user outputs are part of the repository.</w:t>
      </w:r>
    </w:p>
    <w:tbl>
      <w:tblPr>
        <w:tblW w:type="auto" w:w="0"/>
        <w:tblLayout w:type="fixed"/>
        <w:tblLook w:firstColumn="1" w:firstRow="1" w:lastColumn="0" w:lastRow="0" w:noHBand="0" w:noVBand="1" w:val="04A0"/>
      </w:tblPr>
      <w:tblGrid>
        <w:gridCol w:w="3816"/>
        <w:gridCol w:w="5976"/>
      </w:tblGrid>
      <w:tr>
        <w:trPr>
          <w:cantSplit/>
          <w:tblHeader/>
        </w:trPr>
        <w:tc>
          <w:tcPr>
            <w:tcW w:type="dxa" w:w="3816"/>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Dataset</w:t>
            </w:r>
          </w:p>
        </w:tc>
        <w:tc>
          <w:tcPr>
            <w:tcW w:type="dxa" w:w="5976"/>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Purpose and expected result</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samples/customers_positive.csv</w:t>
            </w:r>
          </w:p>
        </w:tc>
        <w:tc>
          <w:tcPr>
            <w:tcW w:type="dxa" w:w="59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Eight input records with duplicates, date formats and country aliases. Rule-backed repairs produce seven records and no blocking issues.</w:t>
            </w:r>
          </w:p>
        </w:tc>
      </w:tr>
      <w:tr>
        <w:trPr>
          <w:cantSplit/>
        </w:trPr>
        <w:tc>
          <w:tcPr>
            <w:tcW w:type="dxa" w:w="3816"/>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samples/customers_negative.csv</w:t>
            </w:r>
          </w:p>
        </w:tc>
        <w:tc>
          <w:tcPr>
            <w:tcW w:type="dxa" w:w="5976"/>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Two records: an impossible February 30 date, unknown ZZ country and missing customer ID. Three blockers require human knowledge.</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samples/formats/</w:t>
            </w:r>
          </w:p>
        </w:tc>
        <w:tc>
          <w:tcPr>
            <w:tcW w:type="dxa" w:w="59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Equivalent positive fixtures in TSV, XLSX, JSON, JSONL and NDJSON for parser and workflow checks.</w:t>
            </w:r>
          </w:p>
        </w:tc>
      </w:tr>
      <w:tr>
        <w:trPr>
          <w:cantSplit/>
        </w:trPr>
        <w:tc>
          <w:tcPr>
            <w:tcW w:type="dxa" w:w="3816"/>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samples/practice/</w:t>
            </w:r>
          </w:p>
        </w:tc>
        <w:tc>
          <w:tcPr>
            <w:tcW w:type="dxa" w:w="5976"/>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Six new records with seven initial issues, four rule-backed changes and three facts to supply. Known fixture answers are included separately.</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dq_agent/__main__.py fixtures</w:t>
            </w:r>
          </w:p>
        </w:tc>
        <w:tc>
          <w:tcPr>
            <w:tcW w:type="dxa" w:w="59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Ten small cases with exact expected outputs, covering clean data, duplicates, aliases, dates, missing ID and combinations.</w:t>
            </w:r>
          </w:p>
        </w:tc>
      </w:tr>
    </w:tbl>
    <w:p>
      <w:pPr>
        <w:spacing w:after="20"/>
      </w:pPr>
    </w:p>
    <w:p>
      <w:pPr>
        <w:pStyle w:val="Heading1"/>
      </w:pPr>
      <w:r>
        <w:t>How the example rules work</w:t>
      </w:r>
    </w:p>
    <w:tbl>
      <w:tblPr>
        <w:tblW w:type="auto" w:w="0"/>
        <w:tblLayout w:type="fixed"/>
        <w:tblLook w:firstColumn="1" w:firstRow="1" w:lastColumn="0" w:lastRow="0" w:noHBand="0" w:noVBand="1" w:val="04A0"/>
      </w:tblPr>
      <w:tblGrid>
        <w:gridCol w:w="2592"/>
        <w:gridCol w:w="7200"/>
      </w:tblGrid>
      <w:tr>
        <w:trPr>
          <w:cantSplit/>
          <w:tblHeader/>
        </w:trPr>
        <w:tc>
          <w:tcPr>
            <w:tcW w:type="dxa" w:w="2592"/>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Rule</w:t>
            </w:r>
          </w:p>
        </w:tc>
        <w:tc>
          <w:tcPr>
            <w:tcW w:type="dxa" w:w="7200"/>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Meaning and example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Required fields</w:t>
            </w:r>
          </w:p>
        </w:tc>
        <w:tc>
          <w:tcPr>
            <w:tcW w:type="dxa" w:w="72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customer_id, name, email, signup_date and country must exist and be nonempty in the interactive examples.</w:t>
            </w:r>
          </w:p>
        </w:tc>
      </w:tr>
      <w:tr>
        <w:trPr>
          <w:cantSplit/>
        </w:trPr>
        <w:tc>
          <w:tcPr>
            <w:tcW w:type="dxa" w:w="2592"/>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Unique identifier</w:t>
            </w:r>
          </w:p>
        </w:tc>
        <w:tc>
          <w:tcPr>
            <w:tcW w:type="dxa" w:w="7200"/>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customer_id must be unique. Treat it as text so 00104 keeps its leading zeros.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Date conversion</w:t>
            </w:r>
          </w:p>
        </w:tc>
        <w:tc>
          <w:tcPr>
            <w:tcW w:type="dxa" w:w="72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Input %m/%d/%Y means MM/DD/YYYY. Output %Y-%m-%d means YYYY-MM-DD. 10/05/2026 becomes 2026-10-05.</w:t>
            </w:r>
          </w:p>
        </w:tc>
      </w:tr>
      <w:tr>
        <w:trPr>
          <w:cantSplit/>
        </w:trPr>
        <w:tc>
          <w:tcPr>
            <w:tcW w:type="dxa" w:w="2592"/>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Country categories</w:t>
            </w:r>
          </w:p>
        </w:tc>
        <w:tc>
          <w:tcPr>
            <w:tcW w:type="dxa" w:w="7200"/>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US, CA and GB are allowed. Explicit aliases such as Canada -&gt; CA and uk -&gt; GB can be repaired; ZZ has no known mapping.</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Limits of these rules</w:t>
            </w:r>
          </w:p>
        </w:tc>
        <w:tc>
          <w:tcPr>
            <w:tcW w:type="dxa" w:w="72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Required email only checks presence. Opt into email_columns for syntax and conditional_dates for matching-record date bounds. Neither verifies ownership or factual truth.</w:t>
            </w:r>
          </w:p>
        </w:tc>
      </w:tr>
    </w:tbl>
    <w:p>
      <w:pPr>
        <w:spacing w:after="20"/>
      </w:pPr>
    </w:p>
    <w:p>
      <w:r>
        <w:br w:type="page"/>
      </w:r>
    </w:p>
    <w:p>
      <w:pPr>
        <w:pStyle w:val="Heading1"/>
      </w:pPr>
      <w:r>
        <w:t>Worked negative scenario</w:t>
      </w:r>
    </w:p>
    <w:p>
      <w:r>
        <w:t>Create a Negative test job from the review hub. Record 1 contains 02/30/2026 and ZZ; record 2 has no customer_id. The expected initial count is three blockers. These are data problems even if the model investigation also fails.</w:t>
      </w:r>
    </w:p>
    <w:p>
      <w:r>
        <w:drawing>
          <wp:inline xmlns:a="http://schemas.openxmlformats.org/drawingml/2006/main" xmlns:pic="http://schemas.openxmlformats.org/drawingml/2006/picture">
            <wp:extent cx="6217920" cy="3497580"/>
            <wp:docPr id="2" name="Picture 2" descr="ai proposed fixes.png"/>
            <wp:cNvGraphicFramePr>
              <a:graphicFrameLocks noChangeAspect="1"/>
            </wp:cNvGraphicFramePr>
            <a:graphic>
              <a:graphicData uri="http://schemas.openxmlformats.org/drawingml/2006/picture">
                <pic:pic>
                  <pic:nvPicPr>
                    <pic:cNvPr id="0" name="ai-proposed-fixes.png"/>
                    <pic:cNvPicPr/>
                  </pic:nvPicPr>
                  <pic:blipFill>
                    <a:blip r:embed="rId12"/>
                    <a:stretch>
                      <a:fillRect/>
                    </a:stretch>
                  </pic:blipFill>
                  <pic:spPr>
                    <a:xfrm>
                      <a:off x="0" y="0"/>
                      <a:ext cx="6217920" cy="3497580"/>
                    </a:xfrm>
                    <a:prstGeom prst="rect"/>
                  </pic:spPr>
                </pic:pic>
              </a:graphicData>
            </a:graphic>
          </wp:inline>
        </w:drawing>
      </w:r>
    </w:p>
    <w:p>
      <w:pPr>
        <w:pStyle w:val="Caption"/>
      </w:pPr>
      <w:r>
        <w:t>Figure 2. Historical UI capture with controlled suggestions. The date hypothesis shown here is now withheld; impossible dates require source confirmation.</w:t>
      </w:r>
    </w:p>
    <w:p>
      <w:r>
        <w:t>Prepare AI-assisted draft includes all affected fields. In live mode, inspect the payload preview and authorize the request first. Add available suggestions to draft, then review or edit the final correction table. Unknown countries, identifiers and impossible dates remain blank. Confirm the intended date from a trusted source, then choose it in the calendar; do not assume a month-end correction.</w:t>
      </w:r>
    </w:p>
    <w:tbl>
      <w:tblPr>
        <w:tblW w:type="auto" w:w="0"/>
        <w:tblLayout w:type="fixed"/>
        <w:tblLook w:firstColumn="1" w:firstRow="1" w:lastColumn="0" w:lastRow="0" w:noHBand="0" w:noVBand="1" w:val="04A0"/>
      </w:tblPr>
      <w:tblGrid>
        <w:gridCol w:w="1008"/>
        <w:gridCol w:w="1944"/>
        <w:gridCol w:w="2592"/>
        <w:gridCol w:w="4248"/>
      </w:tblGrid>
      <w:tr>
        <w:trPr>
          <w:cantSplit/>
          <w:tblHeader/>
        </w:trPr>
        <w:tc>
          <w:tcPr>
            <w:tcW w:type="dxa" w:w="1008"/>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Record</w:t>
            </w:r>
          </w:p>
        </w:tc>
        <w:tc>
          <w:tcPr>
            <w:tcW w:type="dxa" w:w="1944"/>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Field</w:t>
            </w:r>
          </w:p>
        </w:tc>
        <w:tc>
          <w:tcPr>
            <w:tcW w:type="dxa" w:w="2592"/>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Known sample correction</w:t>
            </w:r>
          </w:p>
        </w:tc>
        <w:tc>
          <w:tcPr>
            <w:tcW w:type="dxa" w:w="4248"/>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Reason</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1</w:t>
            </w:r>
          </w:p>
        </w:tc>
        <w:tc>
          <w:tcPr>
            <w:tcW w:type="dxa" w:w="19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signup_date</w:t>
            </w:r>
          </w:p>
        </w:tc>
        <w:tc>
          <w:tcPr>
            <w:tcW w:type="dxa" w:w="25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2026-02-28</w:t>
            </w:r>
          </w:p>
        </w:tc>
        <w:tc>
          <w:tcPr>
            <w:tcW w:type="dxa" w:w="42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Intended date supplied for this fictional test.</w:t>
            </w:r>
          </w:p>
        </w:tc>
      </w:tr>
      <w:tr>
        <w:trPr>
          <w:cantSplit/>
        </w:trPr>
        <w:tc>
          <w:tcPr>
            <w:tcW w:type="dxa" w:w="1008"/>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1</w:t>
            </w:r>
          </w:p>
        </w:tc>
        <w:tc>
          <w:tcPr>
            <w:tcW w:type="dxa" w:w="1944"/>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country</w:t>
            </w:r>
          </w:p>
        </w:tc>
        <w:tc>
          <w:tcPr>
            <w:tcW w:type="dxa" w:w="2592"/>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CA</w:t>
            </w:r>
          </w:p>
        </w:tc>
        <w:tc>
          <w:tcPr>
            <w:tcW w:type="dxa" w:w="4248"/>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Known sample country; not inferred from ZZ.</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2</w:t>
            </w:r>
          </w:p>
        </w:tc>
        <w:tc>
          <w:tcPr>
            <w:tcW w:type="dxa" w:w="19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customer_id</w:t>
            </w:r>
          </w:p>
        </w:tc>
        <w:tc>
          <w:tcPr>
            <w:tcW w:type="dxa" w:w="25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102</w:t>
            </w:r>
          </w:p>
        </w:tc>
        <w:tc>
          <w:tcPr>
            <w:tcW w:type="dxa" w:w="42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Known unique sample identifier.</w:t>
            </w:r>
          </w:p>
        </w:tc>
      </w:tr>
    </w:tbl>
    <w:p>
      <w:pPr>
        <w:spacing w:after="20"/>
      </w:pPr>
    </w:p>
    <w:p>
      <w:r>
        <w:t>These are fixture answers, not facts to reuse on real records. Enter them with reasons, confirm zero remaining blockers, and submit the revised plan. Approve the exact repairs, inspect the staged validation result, then approve export. Expected output: two corrected records, zero blocking issues and an audit.</w:t>
      </w:r>
    </w:p>
    <w:p>
      <w:r>
        <w:br w:type="page"/>
      </w:r>
    </w:p>
    <w:p>
      <w:pPr>
        <w:pStyle w:val="Heading1"/>
      </w:pPr>
      <w:r>
        <w:t>Coding prompts and development iterations</w:t>
      </w:r>
    </w:p>
    <w:p>
      <w:r>
        <w:t>Codex was used as an AI coding assistant for design, Python scaffolding, interface changes, debugging, documentation and tests. The build was steered through repeated user review of the actual interface and workflow. The excerpts below are shortened from those requests.</w:t>
      </w:r>
    </w:p>
    <w:tbl>
      <w:tblPr>
        <w:tblW w:type="auto" w:w="0"/>
        <w:tblLayout w:type="fixed"/>
        <w:tblLook w:firstColumn="1" w:firstRow="1" w:lastColumn="0" w:lastRow="0" w:noHBand="0" w:noVBand="1" w:val="04A0"/>
      </w:tblPr>
      <w:tblGrid>
        <w:gridCol w:w="4824"/>
        <w:gridCol w:w="4968"/>
      </w:tblGrid>
      <w:tr>
        <w:trPr>
          <w:cantSplit/>
          <w:tblHeader/>
        </w:trPr>
        <w:tc>
          <w:tcPr>
            <w:tcW w:type="dxa" w:w="4824"/>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Prompt excerpt</w:t>
            </w:r>
          </w:p>
        </w:tc>
        <w:tc>
          <w:tcPr>
            <w:tcW w:type="dxa" w:w="4968"/>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Implementation outcome</w:t>
            </w:r>
          </w:p>
        </w:tc>
      </w:tr>
      <w:tr>
        <w:trPr>
          <w:cantSplit/>
        </w:trPr>
        <w:tc>
          <w:tcPr>
            <w:tcW w:type="dxa" w:w="48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Define the scope and architecture using the handout's agent framework ... Python, LangChain, and LangGraph.</w:t>
            </w:r>
          </w:p>
        </w:tc>
        <w:tc>
          <w:tcPr>
            <w:tcW w:type="dxa" w:w="49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A primer and framework were reviewed before implementing the stateful workflow.</w:t>
            </w:r>
          </w:p>
        </w:tc>
      </w:tr>
      <w:tr>
        <w:trPr>
          <w:cantSplit/>
        </w:trPr>
        <w:tc>
          <w:tcPr>
            <w:tcW w:type="dxa" w:w="4824"/>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I should see the correct issue count and be able to enter corrections even if the model fails.</w:t>
            </w:r>
          </w:p>
        </w:tc>
        <w:tc>
          <w:tcPr>
            <w:tcW w:type="dxa" w:w="4968"/>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Local validation drives the count; eligible failed investigations allow manual recovery in the same job.</w:t>
            </w:r>
          </w:p>
        </w:tc>
      </w:tr>
      <w:tr>
        <w:trPr>
          <w:cantSplit/>
        </w:trPr>
        <w:tc>
          <w:tcPr>
            <w:tcW w:type="dxa" w:w="48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While editing date field ... use calendar ... country ... drop down ... acceptable values per rules.</w:t>
            </w:r>
          </w:p>
        </w:tc>
        <w:tc>
          <w:tcPr>
            <w:tcW w:type="dxa" w:w="49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Optional field controls use date pickers and rule-derived categories; text fields preserve identifiers.</w:t>
            </w:r>
          </w:p>
        </w:tc>
      </w:tr>
      <w:tr>
        <w:trPr>
          <w:cantSplit/>
        </w:trPr>
        <w:tc>
          <w:tcPr>
            <w:tcW w:type="dxa" w:w="4824"/>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By default all should be available in the same tabular format ... AI Proposed fixed table just above final table.</w:t>
            </w:r>
          </w:p>
        </w:tc>
        <w:tc>
          <w:tcPr>
            <w:tcW w:type="dxa" w:w="4968"/>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All affected fields are prepared together, with compact suggestions above the editable draft and a batch-add action.</w:t>
            </w:r>
          </w:p>
        </w:tc>
      </w:tr>
      <w:tr>
        <w:trPr>
          <w:cantSplit/>
        </w:trPr>
        <w:tc>
          <w:tcPr>
            <w:tcW w:type="dxa" w:w="48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A fresh Nebius evaluation ... measure missed issues, incorrect suggestions and unnecessary refusals ... keep results separate.</w:t>
            </w:r>
          </w:p>
        </w:tc>
        <w:tc>
          <w:tcPr>
            <w:tcW w:type="dxa" w:w="49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Fourteen pre-labeled cases, raw versus guarded scoring, separate cohorts and an auditable live-results package.</w:t>
            </w:r>
          </w:p>
        </w:tc>
      </w:tr>
    </w:tbl>
    <w:p>
      <w:pPr>
        <w:spacing w:after="20"/>
      </w:pPr>
    </w:p>
    <w:p>
      <w:pPr>
        <w:pStyle w:val="Heading1"/>
      </w:pPr>
      <w:r>
        <w:t>Iterations that changed the product</w:t>
      </w:r>
    </w:p>
    <w:p>
      <w:r>
        <w:t>The first version handled CSV and paused on unresolved facts. Live-provider configuration and error handling were then added. Negative testing exposed a misleading zero issue count and a blocked manual-edit path after model failure; both were corrected and covered by regression tests.</w:t>
      </w:r>
    </w:p>
    <w:p>
      <w:r>
        <w:t>The interface evolved from a plain form into a themed landing page and review hub. Readable job names, reset-as-new-run behavior, saved-review search and guided File, Rules and Preview steps made the workflow easier to navigate. Parser expansion added five more extensions while retaining a single validation and approval engine.</w:t>
      </w:r>
    </w:p>
    <w:p>
      <w:r>
        <w:t>Value assistance initially required too many separate steps. It now prepares the draft and possible replacements from one action, while retaining a payload preview and consent. Field-level forms became optional and collapsed, and suggestions moved into a compact table.</w:t>
      </w:r>
    </w:p>
    <w:p>
      <w:r>
        <w:t>The generated landing artwork and matching light-mode edit prompts are recorded in assets/hero-prompts.txt and assets/light-matching-prompt.txt. The scene and animation illustrate records being reviewed; they are not a live view of processing.</w:t>
      </w:r>
    </w:p>
    <w:p>
      <w:r>
        <w:br w:type="page"/>
      </w:r>
    </w:p>
    <w:p>
      <w:pPr>
        <w:pStyle w:val="Heading1"/>
      </w:pPr>
      <w:r>
        <w:t>Verification and observations</w:t>
      </w:r>
    </w:p>
    <w:p>
      <w:r>
        <w:t>Release verification on 25 October 2026: 457 automated tests passed, with 0 failures and 0 errors. The ten-case offline evaluation completed 10 of 10 scenarios with exact expected outputs; the slowest case took 1.047 seconds on the local test machine.</w:t>
      </w:r>
    </w:p>
    <w:tbl>
      <w:tblPr>
        <w:tblW w:type="auto" w:w="0"/>
        <w:tblLayout w:type="fixed"/>
        <w:tblLook w:firstColumn="1" w:firstRow="1" w:lastColumn="0" w:lastRow="0" w:noHBand="0" w:noVBand="1" w:val="04A0"/>
      </w:tblPr>
      <w:tblGrid>
        <w:gridCol w:w="2088"/>
        <w:gridCol w:w="3888"/>
        <w:gridCol w:w="3816"/>
      </w:tblGrid>
      <w:tr>
        <w:trPr>
          <w:cantSplit/>
          <w:tblHeader/>
        </w:trPr>
        <w:tc>
          <w:tcPr>
            <w:tcW w:type="dxa" w:w="2088"/>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Evidence</w:t>
            </w:r>
          </w:p>
        </w:tc>
        <w:tc>
          <w:tcPr>
            <w:tcW w:type="dxa" w:w="3888"/>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What it establishes</w:t>
            </w:r>
          </w:p>
        </w:tc>
        <w:tc>
          <w:tcPr>
            <w:tcW w:type="dxa" w:w="3816"/>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What it does not establish</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Regression suite</w:t>
            </w:r>
          </w:p>
        </w:tc>
        <w:tc>
          <w:tcPr>
            <w:tcW w:type="dxa" w:w="388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Rules, parsers, approvals, persistence, recovery, drafts, consent and UI behavior under test.</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Production certification or zero defects.</w:t>
            </w:r>
          </w:p>
        </w:tc>
      </w:tr>
      <w:tr>
        <w:trPr>
          <w:cantSplit/>
        </w:trPr>
        <w:tc>
          <w:tcPr>
            <w:tcW w:type="dxa" w:w="2088"/>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10 of 10 offline cases</w:t>
            </w:r>
          </w:p>
        </w:tc>
        <w:tc>
          <w:tcPr>
            <w:tcW w:type="dxa" w:w="3888"/>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Known end-to-end fixtures reach exact expected CSV outputs through scripted approval decisions.</w:t>
            </w:r>
          </w:p>
        </w:tc>
        <w:tc>
          <w:tcPr>
            <w:tcW w:type="dxa" w:w="3816"/>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Live-model accuracy, real user completion time or performance on arbitrary uploads.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Provider integration</w:t>
            </w:r>
          </w:p>
        </w:tc>
        <w:tc>
          <w:tcPr>
            <w:tcW w:type="dxa" w:w="388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Nebius is implemented through LangChain; provider responses and failures have controlled test coverage.</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Every model in the provider catalog will behave identically or remain available.</w:t>
            </w:r>
          </w:p>
        </w:tc>
      </w:tr>
    </w:tbl>
    <w:p>
      <w:pPr>
        <w:spacing w:after="20"/>
      </w:pPr>
    </w:p>
    <w:p>
      <w:r>
        <w:t>Reproduce the checks after setup: python -m pytest; python -m dq_agent evaluate --root .eval-data. The committed docs/test-results.json and docs/evaluation-results.json contain aggregate evidence without saved customer jobs or machine-specific paths.</w:t>
      </w:r>
    </w:p>
    <w:p>
      <w:pPr>
        <w:pStyle w:val="Heading1"/>
      </w:pPr>
      <w:r>
        <w:t>Learnings and observations</w:t>
      </w:r>
    </w:p>
    <w:p>
      <w:r>
        <w:t>Validation and factual truth are different. Python can prove that CA is allowed, but cannot determine whether an unknown customer lives in Canada. The interface must distinguish deterministic transformations, unverified AI hypotheses and facts supplied by the user.</w:t>
      </w:r>
    </w:p>
    <w:p>
      <w:r>
        <w:t>Human approval must bind to exact content. A generic checkbox is insufficient if the source, rules, plan or staged bytes can change. Checkpoints and content hashes make resumed work reviewable and protect the write boundary.</w:t>
      </w:r>
    </w:p>
    <w:p>
      <w:r>
        <w:t>Model failure should not erase deterministic evidence or trap the user. Keeping local validation independent makes the workflow useful when a provider times out, produces malformed output or exhausts its budget.</w:t>
      </w:r>
    </w:p>
    <w:p>
      <w:r>
        <w:t>Interface verification matters alongside unit tests. Repeated review caught unclear date-entry expectations, oversized controls and excessive correction steps. Compact tables and rule-aware controls reduced friction while keeping explicit approvals.</w:t>
      </w:r>
    </w:p>
    <w:p>
      <w:r>
        <w:t>The fresh Nebius study that follows adds live exception, multi-item and abstention checks. Further work includes independently reviewed datasets, repeated runs, richer validation and export rules, and access controls before multi-user deployment.</w:t>
      </w:r>
    </w:p>
    <w:p>
      <w:r>
        <w:br w:type="page"/>
      </w:r>
    </w:p>
    <w:p>
      <w:pPr>
        <w:pStyle w:val="Heading1"/>
      </w:pPr>
      <w:r>
        <w:t>Baseline Nebius evaluation method</w:t>
      </w:r>
    </w:p>
    <w:p>
      <w:r>
        <w:t>A new 14-case study used Nebius model Qwen/Qwen3.5-397B-A17B at temperature 0. The records, expected issue locations and correction answers were fixed before the calls. This is a single-pass study of fictional fixtures, separate from the earlier ten offline cases and regression suite.</w:t>
      </w:r>
    </w:p>
    <w:p>
      <w:r>
        <w:t>The study applies the previous project feedback to exception handling, coverage across multiple items, and unnecessary refusals. Four cohorts remain separate: declared rules, semantic corrections, exception and missing-knowledge cases, and full-source coverage probes. Research-paper and CMS results are not pooled into these numbers.</w:t>
      </w:r>
    </w:p>
    <w:tbl>
      <w:tblPr>
        <w:tblW w:type="auto" w:w="0"/>
        <w:tblLayout w:type="fixed"/>
        <w:tblLook w:firstColumn="1" w:firstRow="1" w:lastColumn="0" w:lastRow="0" w:noHBand="0" w:noVBand="1" w:val="04A0"/>
      </w:tblPr>
      <w:tblGrid>
        <w:gridCol w:w="2376"/>
        <w:gridCol w:w="7416"/>
      </w:tblGrid>
      <w:tr>
        <w:trPr>
          <w:cantSplit/>
          <w:tblHeader/>
        </w:trPr>
        <w:tc>
          <w:tcPr>
            <w:tcW w:type="dxa" w:w="2376"/>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Measure</w:t>
            </w:r>
          </w:p>
        </w:tc>
        <w:tc>
          <w:tcPr>
            <w:tcW w:type="dxa" w:w="7416"/>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Definition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Missed issues</w:t>
            </w:r>
          </w:p>
        </w:tc>
        <w:tc>
          <w:tcPr>
            <w:tcW w:type="dxa" w:w="74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Compare every expected record, field and issue type with local validation. Python detects issues; these recall figures are not attributed to the language model.</w:t>
            </w:r>
          </w:p>
        </w:tc>
      </w:tr>
      <w:tr>
        <w:trPr>
          <w:cantSplit/>
        </w:trPr>
        <w:tc>
          <w:tcPr>
            <w:tcW w:type="dxa" w:w="2376"/>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Incorrect suggestions</w:t>
            </w:r>
          </w:p>
        </w:tc>
        <w:tc>
          <w:tcPr>
            <w:tcW w:type="dxa" w:w="7416"/>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Compare raw and user-visible values with the fixture answers. Count unsupported guesses even if they accidentally match. Include factually wrong date hypotheses in the factual total, with that subtype reported separately.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Unnecessary refusals</w:t>
            </w:r>
          </w:p>
        </w:tc>
        <w:tc>
          <w:tcPr>
            <w:tcW w:type="dxa" w:w="74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Explicit abstentions where the disclosed evidence supports a known answer, divided by answerable requested cells. Missing responses and provider failures are reported separately.</w:t>
            </w:r>
          </w:p>
        </w:tc>
      </w:tr>
      <w:tr>
        <w:trPr>
          <w:cantSplit/>
        </w:trPr>
        <w:tc>
          <w:tcPr>
            <w:tcW w:type="dxa" w:w="2376"/>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Coverage across items</w:t>
            </w:r>
          </w:p>
        </w:tc>
        <w:tc>
          <w:tcPr>
            <w:tcW w:type="dxa" w:w="7416"/>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Check response items for every affected cell, including batches with multiple records. Keep raw output separate from what safeguards allow through.</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Complete reviewed outcome</w:t>
            </w:r>
          </w:p>
        </w:tc>
        <w:tc>
          <w:tcPr>
            <w:tcW w:type="dxa" w:w="74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For repairable fixtures, require exact expected output, preserved originals and both scripted approvals. For hold cases, an approval-ready state is a failure even if the evaluator withholds approval.</w:t>
            </w:r>
          </w:p>
        </w:tc>
      </w:tr>
    </w:tbl>
    <w:p>
      <w:pPr>
        <w:spacing w:after="20"/>
      </w:pPr>
    </w:p>
    <w:p>
      <w:r>
        <w:t>The model receives the normal production context: aggregate references for investigation and consented affected values/rules for value assistance. Gold answers and source notes are withheld. Two source-coverage cases intentionally contain requirements that could not be represented by the baseline rule schema, testing the system boundary rather than expecting the model to know an undisclosed policy.</w:t>
      </w:r>
    </w:p>
    <w:p>
      <w:r>
        <w:t>The evaluation runner saves each exact fictional request preview before sending it. It records model replies, tool calls, tokens, corpus and runner hashes, and the application commit. It never uses saved customer jobs or publishes API credentials. No production prompt or guardrail was tuned to improve this run.</w:t>
      </w:r>
    </w:p>
    <w:p>
      <w:r>
        <w:t>Reproduce a local preflight with: python scripts/evaluate_nebius.py. Live calls require: python scripts/evaluate_nebius.py --live --consent-synthetic. The command uses your configured provider key, incurs normal provider usage, and writes job artifacts only to ignored tmp storage.</w:t>
      </w:r>
    </w:p>
    <w:p>
      <w:r>
        <w:br w:type="page"/>
      </w:r>
    </w:p>
    <w:p>
      <w:pPr>
        <w:pStyle w:val="Heading1"/>
      </w:pPr>
      <w:r>
        <w:t>Baseline Nebius results by cohort</w:t>
      </w:r>
    </w:p>
    <w:tbl>
      <w:tblPr>
        <w:tblW w:type="auto" w:w="0"/>
        <w:tblLayout w:type="fixed"/>
        <w:tblLook w:firstColumn="1" w:firstRow="1" w:lastColumn="0" w:lastRow="0" w:noHBand="0" w:noVBand="1" w:val="04A0"/>
      </w:tblPr>
      <w:tblGrid>
        <w:gridCol w:w="3600"/>
        <w:gridCol w:w="936"/>
        <w:gridCol w:w="2808"/>
        <w:gridCol w:w="2448"/>
      </w:tblGrid>
      <w:tr>
        <w:trPr>
          <w:cantSplit/>
          <w:tblHeader/>
        </w:trPr>
        <w:tc>
          <w:tcPr>
            <w:tcW w:type="dxa" w:w="3600"/>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Cohort</w:t>
            </w:r>
          </w:p>
        </w:tc>
        <w:tc>
          <w:tcPr>
            <w:tcW w:type="dxa" w:w="936"/>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Cases</w:t>
            </w:r>
          </w:p>
        </w:tc>
        <w:tc>
          <w:tcPr>
            <w:tcW w:type="dxa" w:w="2808"/>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Missed / expected</w:t>
            </w:r>
          </w:p>
        </w:tc>
        <w:tc>
          <w:tcPr>
            <w:tcW w:type="dxa" w:w="2448"/>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False alarms</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Declared rules</w:t>
            </w:r>
          </w:p>
        </w:tc>
        <w:tc>
          <w:tcPr>
            <w:tcW w:type="dxa" w:w="9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4</w:t>
            </w:r>
          </w:p>
        </w:tc>
        <w:tc>
          <w:tcPr>
            <w:tcW w:type="dxa" w:w="280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 / 7</w:t>
            </w:r>
          </w:p>
        </w:tc>
        <w:tc>
          <w:tcPr>
            <w:tcW w:type="dxa" w:w="24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w:t>
            </w:r>
          </w:p>
        </w:tc>
      </w:tr>
      <w:tr>
        <w:trPr>
          <w:cantSplit/>
        </w:trPr>
        <w:tc>
          <w:tcPr>
            <w:tcW w:type="dxa" w:w="3600"/>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Semantic repairs</w:t>
            </w:r>
          </w:p>
        </w:tc>
        <w:tc>
          <w:tcPr>
            <w:tcW w:type="dxa" w:w="936"/>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4</w:t>
            </w:r>
          </w:p>
        </w:tc>
        <w:tc>
          <w:tcPr>
            <w:tcW w:type="dxa" w:w="2808"/>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 / 7</w:t>
            </w:r>
          </w:p>
        </w:tc>
        <w:tc>
          <w:tcPr>
            <w:tcW w:type="dxa" w:w="2448"/>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Exception and knowledge</w:t>
            </w:r>
          </w:p>
        </w:tc>
        <w:tc>
          <w:tcPr>
            <w:tcW w:type="dxa" w:w="9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4</w:t>
            </w:r>
          </w:p>
        </w:tc>
        <w:tc>
          <w:tcPr>
            <w:tcW w:type="dxa" w:w="280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 / 7</w:t>
            </w:r>
          </w:p>
        </w:tc>
        <w:tc>
          <w:tcPr>
            <w:tcW w:type="dxa" w:w="24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w:t>
            </w:r>
          </w:p>
        </w:tc>
      </w:tr>
      <w:tr>
        <w:trPr>
          <w:cantSplit/>
        </w:trPr>
        <w:tc>
          <w:tcPr>
            <w:tcW w:type="dxa" w:w="3600"/>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Full source coverage</w:t>
            </w:r>
          </w:p>
        </w:tc>
        <w:tc>
          <w:tcPr>
            <w:tcW w:type="dxa" w:w="936"/>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2</w:t>
            </w:r>
          </w:p>
        </w:tc>
        <w:tc>
          <w:tcPr>
            <w:tcW w:type="dxa" w:w="2808"/>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2 / 2</w:t>
            </w:r>
          </w:p>
        </w:tc>
        <w:tc>
          <w:tcPr>
            <w:tcW w:type="dxa" w:w="2448"/>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w:t>
            </w:r>
          </w:p>
        </w:tc>
      </w:tr>
    </w:tbl>
    <w:p>
      <w:pPr>
        <w:spacing w:after="20"/>
      </w:pPr>
    </w:p>
    <w:p>
      <w:r>
        <w:t>The source-coverage misses are a conditional signup-date policy and email syntax. Both records satisfy the supplied JSON checks, so the app reaches repair approval despite those omitted requirements. The evaluator withholds approval; a clean validation result is not evidence that the full business policy has been covered.</w:t>
      </w:r>
    </w:p>
    <w:tbl>
      <w:tblPr>
        <w:tblW w:type="auto" w:w="0"/>
        <w:tblLayout w:type="fixed"/>
        <w:tblLook w:firstColumn="1" w:firstRow="1" w:lastColumn="0" w:lastRow="0" w:noHBand="0" w:noVBand="1" w:val="04A0"/>
      </w:tblPr>
      <w:tblGrid>
        <w:gridCol w:w="2736"/>
        <w:gridCol w:w="1872"/>
        <w:gridCol w:w="2376"/>
        <w:gridCol w:w="2808"/>
      </w:tblGrid>
      <w:tr>
        <w:trPr>
          <w:cantSplit/>
          <w:tblHeader/>
        </w:trPr>
        <w:tc>
          <w:tcPr>
            <w:tcW w:type="dxa" w:w="2736"/>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Value cohort</w:t>
            </w:r>
          </w:p>
        </w:tc>
        <w:tc>
          <w:tcPr>
            <w:tcW w:type="dxa" w:w="1872"/>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Stage</w:t>
            </w:r>
          </w:p>
        </w:tc>
        <w:tc>
          <w:tcPr>
            <w:tcW w:type="dxa" w:w="2376"/>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Wrong / proposed</w:t>
            </w:r>
          </w:p>
        </w:tc>
        <w:tc>
          <w:tcPr>
            <w:tcW w:type="dxa" w:w="2808"/>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Refused / answerable</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Semantic repairs</w:t>
            </w:r>
          </w:p>
        </w:tc>
        <w:tc>
          <w:tcPr>
            <w:tcW w:type="dxa" w:w="18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Raw model</w:t>
            </w:r>
          </w:p>
        </w:tc>
        <w:tc>
          <w:tcPr>
            <w:tcW w:type="dxa" w:w="23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 / 7</w:t>
            </w:r>
          </w:p>
        </w:tc>
        <w:tc>
          <w:tcPr>
            <w:tcW w:type="dxa" w:w="280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 / 7</w:t>
            </w:r>
          </w:p>
        </w:tc>
      </w:tr>
      <w:tr>
        <w:trPr>
          <w:cantSplit/>
        </w:trPr>
        <w:tc>
          <w:tcPr>
            <w:tcW w:type="dxa" w:w="2736"/>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Semantic repairs</w:t>
            </w:r>
          </w:p>
        </w:tc>
        <w:tc>
          <w:tcPr>
            <w:tcW w:type="dxa" w:w="1872"/>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After safeguards</w:t>
            </w:r>
          </w:p>
        </w:tc>
        <w:tc>
          <w:tcPr>
            <w:tcW w:type="dxa" w:w="2376"/>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 / 7</w:t>
            </w:r>
          </w:p>
        </w:tc>
        <w:tc>
          <w:tcPr>
            <w:tcW w:type="dxa" w:w="2808"/>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 / 7</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Exception and knowledge</w:t>
            </w:r>
          </w:p>
        </w:tc>
        <w:tc>
          <w:tcPr>
            <w:tcW w:type="dxa" w:w="18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Raw model</w:t>
            </w:r>
          </w:p>
        </w:tc>
        <w:tc>
          <w:tcPr>
            <w:tcW w:type="dxa" w:w="23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1 / 1</w:t>
            </w:r>
          </w:p>
        </w:tc>
        <w:tc>
          <w:tcPr>
            <w:tcW w:type="dxa" w:w="280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Not applicable</w:t>
            </w:r>
          </w:p>
        </w:tc>
      </w:tr>
      <w:tr>
        <w:trPr>
          <w:cantSplit/>
        </w:trPr>
        <w:tc>
          <w:tcPr>
            <w:tcW w:type="dxa" w:w="2736"/>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Exception and knowledge</w:t>
            </w:r>
          </w:p>
        </w:tc>
        <w:tc>
          <w:tcPr>
            <w:tcW w:type="dxa" w:w="1872"/>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After safeguards</w:t>
            </w:r>
          </w:p>
        </w:tc>
        <w:tc>
          <w:tcPr>
            <w:tcW w:type="dxa" w:w="2376"/>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1 / 1</w:t>
            </w:r>
          </w:p>
        </w:tc>
        <w:tc>
          <w:tcPr>
            <w:tcW w:type="dxa" w:w="2808"/>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Not applicable</w:t>
            </w:r>
          </w:p>
        </w:tc>
      </w:tr>
    </w:tbl>
    <w:p>
      <w:pPr>
        <w:spacing w:after="20"/>
      </w:pPr>
    </w:p>
    <w:p>
      <w:r>
        <w:t>The factual error total includes 0 incorrect or unsupported determinate proposals and 1 date hypothesis inconsistent with the hidden source ledger. Nebius suggested 2027-02-28; the fixture ledger specifies 2027-03-01. Raw item coverage was 14 of 14 requested cells. Six unknown-fact cells received necessary abstentions.</w:t>
      </w:r>
    </w:p>
    <w:p>
      <w:r>
        <w:t>The declared-rule investigator selected 7 of 7 expected transformations. Scripted review produced 11 exact corrected outputs with original files preserved and two approvals each. This measures the combined workflow with known reviewer facts, not autonomous correction accuracy.</w:t>
      </w:r>
    </w:p>
    <w:p>
      <w:r>
        <w:t>The initial run made 75 model requests and reported 81357 total tokens. Its final case hit the evaluator's 75-request cap, a local stop rather than a provider refusal. The targeted retry is retained separately in docs/evaluations/nebius-coverage-retry-v1.json; the original result is unchanged. The retry also exposes the email coverage gap.</w:t>
      </w:r>
    </w:p>
    <w:p>
      <w:r>
        <w:t>This baseline motivated the email and conditional date rules and conservative date handling described next. Source-to-rules review and independently labeled repeat evaluations remain necessary.</w:t>
      </w:r>
    </w:p>
    <w:p>
      <w:r>
        <w:t>These small, deliberately constructed samples describe this run only. They do not establish a stable refusal rate, production accuracy or real-user completion time. The previous offline figures remain separate. Six new evaluator tests passed, including checks that missing responses are not mislabeled as refusals. The original baseline artifacts remain unchanged; the follow-up records production fixes separately.</w:t>
      </w:r>
    </w:p>
    <w:p>
      <w:r>
        <w:br w:type="page"/>
      </w:r>
    </w:p>
    <w:p>
      <w:pPr>
        <w:pStyle w:val="Heading1"/>
      </w:pPr>
      <w:r>
        <w:t>Policy fixes and date clarification</w:t>
      </w:r>
    </w:p>
    <w:p>
      <w:r>
        <w:t>The follow-up implements the two validation requirements missed in the baseline: email syntax and conditional date bounds. Impossible or ambiguous dates now require confirmation from a trusted source. A valid-looking nearest date is no longer offered as a correction.</w:t>
      </w:r>
    </w:p>
    <w:tbl>
      <w:tblPr>
        <w:tblW w:type="auto" w:w="0"/>
        <w:tblLayout w:type="fixed"/>
        <w:tblLook w:firstColumn="1" w:firstRow="1" w:lastColumn="0" w:lastRow="0" w:noHBand="0" w:noVBand="1" w:val="04A0"/>
      </w:tblPr>
      <w:tblGrid>
        <w:gridCol w:w="2376"/>
        <w:gridCol w:w="7416"/>
      </w:tblGrid>
      <w:tr>
        <w:trPr>
          <w:cantSplit/>
          <w:tblHeader/>
        </w:trPr>
        <w:tc>
          <w:tcPr>
            <w:tcW w:type="dxa" w:w="2376"/>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Rule or safeguard</w:t>
            </w:r>
          </w:p>
        </w:tc>
        <w:tc>
          <w:tcPr>
            <w:tcW w:type="dxa" w:w="7416"/>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Behavior and example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email_columns</w:t>
            </w:r>
          </w:p>
        </w:tc>
        <w:tc>
          <w:tcPr>
            <w:tcW w:type="dxa" w:w="74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Opt-in ASCII mailbox syntax and dotted domain checks. not-an-email fails; o'neil+tag@sub.example.co.uk passes. Delivery and ownership are not checked. Quoted local parts and internationalized addresses are outside this contract.</w:t>
            </w:r>
          </w:p>
        </w:tc>
      </w:tr>
      <w:tr>
        <w:trPr>
          <w:cantSplit/>
        </w:trPr>
        <w:tc>
          <w:tcPr>
            <w:tcW w:type="dxa" w:w="2376"/>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conditional_dates</w:t>
            </w:r>
          </w:p>
        </w:tc>
        <w:tc>
          <w:tcPr>
            <w:tcW w:type="dxa" w:w="7416"/>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An exact condition activates inclusive ISO bounds. Example: column signup_date, when_column country, equals GB, min_date 2027-01-01. max_date is optional. Target columns need date_formats entries.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Date clarification</w:t>
            </w:r>
          </w:p>
        </w:tc>
        <w:tc>
          <w:tcPr>
            <w:tcW w:type="dxa" w:w="74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02/29/2027 is impossible. The agent asks for the intended date instead of choosing February 28. Valid 03/04/2028 with declared day-first input converts to 2028-04-03.</w:t>
            </w:r>
          </w:p>
        </w:tc>
      </w:tr>
      <w:tr>
        <w:trPr>
          <w:cantSplit/>
        </w:trPr>
        <w:tc>
          <w:tcPr>
            <w:tcW w:type="dxa" w:w="2376"/>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Local enforcement</w:t>
            </w:r>
          </w:p>
        </w:tc>
        <w:tc>
          <w:tcPr>
            <w:tcW w:type="dxa" w:w="7416"/>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Even if the model guesses a date or malformed-email replacement, the local guard withholds it without rule-backed evidence. A true date outside policy bounds is not shifted merely to qualify.</w:t>
            </w:r>
          </w:p>
        </w:tc>
      </w:tr>
    </w:tbl>
    <w:p>
      <w:pPr>
        <w:spacing w:after="20"/>
      </w:pPr>
    </w:p>
    <w:p>
      <w:r>
        <w:t>Try samples/customers_policy_review.csv with samples/import_rules_policy.json. Expect three blockers: record 1 has invalid email syntax and an out-of-policy GB date; record 2 has an impossible date. Record 3 is exactly on the accepted boundary. Confirm source facts before editing and retain both approval gates.</w:t>
      </w:r>
    </w:p>
    <w:p>
      <w:r>
        <w:t>Existing jobs retain their saved rules, including when reset. Create a new job with the updated rules to enforce new policies. An unencoded policy is still invisible to the validator; this update does not claim automatic understanding of undisclosed business requirements.</w:t>
      </w:r>
    </w:p>
    <w:p>
      <w:pPr>
        <w:pStyle w:val="Heading1"/>
      </w:pPr>
      <w:r>
        <w:t>Comparison design</w:t>
      </w:r>
    </w:p>
    <w:p>
      <w:r>
        <w:t>The live rerun uses the original 14 cases as regressions, explicitly encoding the two previously omitted requirements. Four new pre-labeled cases test multiple email errors, inclusive date boundaries and a nonmatching control, an impossible April date, and valid day-first conversion. New cases remain a separate cohort. The baseline date oracle now requires abstention; oracle-only source facts remain hidden from the model.</w:t>
      </w:r>
    </w:p>
    <w:p>
      <w:r>
        <w:br w:type="page"/>
      </w:r>
    </w:p>
    <w:p>
      <w:pPr>
        <w:pStyle w:val="Heading1"/>
      </w:pPr>
      <w:r>
        <w:t>Nebius results after the fixes</w:t>
      </w:r>
    </w:p>
    <w:p>
      <w:r>
        <w:t>Fresh provider calls used Qwen/Qwen3.5-397B-A17B at temperature 0 against commit b44cc75. The frozen baseline and its targeted retry remain separately published. This is one follow-up pass, not an independently reviewed benchmark.</w:t>
      </w:r>
    </w:p>
    <w:tbl>
      <w:tblPr>
        <w:tblW w:type="auto" w:w="0"/>
        <w:tblLayout w:type="fixed"/>
        <w:tblLook w:firstColumn="1" w:firstRow="1" w:lastColumn="0" w:lastRow="0" w:noHBand="0" w:noVBand="1" w:val="04A0"/>
      </w:tblPr>
      <w:tblGrid>
        <w:gridCol w:w="3600"/>
        <w:gridCol w:w="936"/>
        <w:gridCol w:w="2808"/>
        <w:gridCol w:w="2448"/>
      </w:tblGrid>
      <w:tr>
        <w:trPr>
          <w:cantSplit/>
          <w:tblHeader/>
        </w:trPr>
        <w:tc>
          <w:tcPr>
            <w:tcW w:type="dxa" w:w="3600"/>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Cohort</w:t>
            </w:r>
          </w:p>
        </w:tc>
        <w:tc>
          <w:tcPr>
            <w:tcW w:type="dxa" w:w="936"/>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Cases</w:t>
            </w:r>
          </w:p>
        </w:tc>
        <w:tc>
          <w:tcPr>
            <w:tcW w:type="dxa" w:w="2808"/>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Missed / expected</w:t>
            </w:r>
          </w:p>
        </w:tc>
        <w:tc>
          <w:tcPr>
            <w:tcW w:type="dxa" w:w="2448"/>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False alarms</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Declared rules</w:t>
            </w:r>
          </w:p>
        </w:tc>
        <w:tc>
          <w:tcPr>
            <w:tcW w:type="dxa" w:w="9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4</w:t>
            </w:r>
          </w:p>
        </w:tc>
        <w:tc>
          <w:tcPr>
            <w:tcW w:type="dxa" w:w="280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 / 7</w:t>
            </w:r>
          </w:p>
        </w:tc>
        <w:tc>
          <w:tcPr>
            <w:tcW w:type="dxa" w:w="24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w:t>
            </w:r>
          </w:p>
        </w:tc>
      </w:tr>
      <w:tr>
        <w:trPr>
          <w:cantSplit/>
        </w:trPr>
        <w:tc>
          <w:tcPr>
            <w:tcW w:type="dxa" w:w="3600"/>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Semantic repairs</w:t>
            </w:r>
          </w:p>
        </w:tc>
        <w:tc>
          <w:tcPr>
            <w:tcW w:type="dxa" w:w="936"/>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4</w:t>
            </w:r>
          </w:p>
        </w:tc>
        <w:tc>
          <w:tcPr>
            <w:tcW w:type="dxa" w:w="2808"/>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 / 7</w:t>
            </w:r>
          </w:p>
        </w:tc>
        <w:tc>
          <w:tcPr>
            <w:tcW w:type="dxa" w:w="2448"/>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Exceptions and knowledge</w:t>
            </w:r>
          </w:p>
        </w:tc>
        <w:tc>
          <w:tcPr>
            <w:tcW w:type="dxa" w:w="9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4</w:t>
            </w:r>
          </w:p>
        </w:tc>
        <w:tc>
          <w:tcPr>
            <w:tcW w:type="dxa" w:w="280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 / 7</w:t>
            </w:r>
          </w:p>
        </w:tc>
        <w:tc>
          <w:tcPr>
            <w:tcW w:type="dxa" w:w="24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w:t>
            </w:r>
          </w:p>
        </w:tc>
      </w:tr>
      <w:tr>
        <w:trPr>
          <w:cantSplit/>
        </w:trPr>
        <w:tc>
          <w:tcPr>
            <w:tcW w:type="dxa" w:w="3600"/>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Encoded source policies</w:t>
            </w:r>
          </w:p>
        </w:tc>
        <w:tc>
          <w:tcPr>
            <w:tcW w:type="dxa" w:w="936"/>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2</w:t>
            </w:r>
          </w:p>
        </w:tc>
        <w:tc>
          <w:tcPr>
            <w:tcW w:type="dxa" w:w="2808"/>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 / 2</w:t>
            </w:r>
          </w:p>
        </w:tc>
        <w:tc>
          <w:tcPr>
            <w:tcW w:type="dxa" w:w="2448"/>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New holdout cases</w:t>
            </w:r>
          </w:p>
        </w:tc>
        <w:tc>
          <w:tcPr>
            <w:tcW w:type="dxa" w:w="9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4</w:t>
            </w:r>
          </w:p>
        </w:tc>
        <w:tc>
          <w:tcPr>
            <w:tcW w:type="dxa" w:w="280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 / 6</w:t>
            </w:r>
          </w:p>
        </w:tc>
        <w:tc>
          <w:tcPr>
            <w:tcW w:type="dxa" w:w="24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w:t>
            </w:r>
          </w:p>
        </w:tc>
      </w:tr>
    </w:tbl>
    <w:p>
      <w:pPr>
        <w:spacing w:after="20"/>
      </w:pPr>
    </w:p>
    <w:tbl>
      <w:tblPr>
        <w:tblW w:type="auto" w:w="0"/>
        <w:tblLayout w:type="fixed"/>
        <w:tblLook w:firstColumn="1" w:firstRow="1" w:lastColumn="0" w:lastRow="0" w:noHBand="0" w:noVBand="1" w:val="04A0"/>
      </w:tblPr>
      <w:tblGrid>
        <w:gridCol w:w="3312"/>
        <w:gridCol w:w="2160"/>
        <w:gridCol w:w="2376"/>
        <w:gridCol w:w="1944"/>
      </w:tblGrid>
      <w:tr>
        <w:trPr>
          <w:cantSplit/>
          <w:tblHeader/>
        </w:trPr>
        <w:tc>
          <w:tcPr>
            <w:tcW w:type="dxa" w:w="3312"/>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Value cohort</w:t>
            </w:r>
          </w:p>
        </w:tc>
        <w:tc>
          <w:tcPr>
            <w:tcW w:type="dxa" w:w="2160"/>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Wrong raw / visible</w:t>
            </w:r>
          </w:p>
        </w:tc>
        <w:tc>
          <w:tcPr>
            <w:tcW w:type="dxa" w:w="2376"/>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Refused raw / visible</w:t>
            </w:r>
          </w:p>
        </w:tc>
        <w:tc>
          <w:tcPr>
            <w:tcW w:type="dxa" w:w="1944"/>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Answerable cells</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Semantic repairs</w:t>
            </w:r>
          </w:p>
        </w:tc>
        <w:tc>
          <w:tcPr>
            <w:tcW w:type="dxa" w:w="21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 / 0</w:t>
            </w:r>
          </w:p>
        </w:tc>
        <w:tc>
          <w:tcPr>
            <w:tcW w:type="dxa" w:w="23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 / 0</w:t>
            </w:r>
          </w:p>
        </w:tc>
        <w:tc>
          <w:tcPr>
            <w:tcW w:type="dxa" w:w="19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7</w:t>
            </w:r>
          </w:p>
        </w:tc>
      </w:tr>
      <w:tr>
        <w:trPr>
          <w:cantSplit/>
        </w:trPr>
        <w:tc>
          <w:tcPr>
            <w:tcW w:type="dxa" w:w="3312"/>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Exceptions and knowledge</w:t>
            </w:r>
          </w:p>
        </w:tc>
        <w:tc>
          <w:tcPr>
            <w:tcW w:type="dxa" w:w="2160"/>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 / 0</w:t>
            </w:r>
          </w:p>
        </w:tc>
        <w:tc>
          <w:tcPr>
            <w:tcW w:type="dxa" w:w="2376"/>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Not applicable</w:t>
            </w:r>
          </w:p>
        </w:tc>
        <w:tc>
          <w:tcPr>
            <w:tcW w:type="dxa" w:w="1944"/>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Encoded source policies</w:t>
            </w:r>
          </w:p>
        </w:tc>
        <w:tc>
          <w:tcPr>
            <w:tcW w:type="dxa" w:w="21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 / 0</w:t>
            </w:r>
          </w:p>
        </w:tc>
        <w:tc>
          <w:tcPr>
            <w:tcW w:type="dxa" w:w="23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Not applicable</w:t>
            </w:r>
          </w:p>
        </w:tc>
        <w:tc>
          <w:tcPr>
            <w:tcW w:type="dxa" w:w="19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w:t>
            </w:r>
          </w:p>
        </w:tc>
      </w:tr>
      <w:tr>
        <w:trPr>
          <w:cantSplit/>
        </w:trPr>
        <w:tc>
          <w:tcPr>
            <w:tcW w:type="dxa" w:w="3312"/>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New holdout cases</w:t>
            </w:r>
          </w:p>
        </w:tc>
        <w:tc>
          <w:tcPr>
            <w:tcW w:type="dxa" w:w="2160"/>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 / 0</w:t>
            </w:r>
          </w:p>
        </w:tc>
        <w:tc>
          <w:tcPr>
            <w:tcW w:type="dxa" w:w="2376"/>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Not applicable</w:t>
            </w:r>
          </w:p>
        </w:tc>
        <w:tc>
          <w:tcPr>
            <w:tcW w:type="dxa" w:w="1944"/>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w:t>
            </w:r>
          </w:p>
        </w:tc>
      </w:tr>
    </w:tbl>
    <w:p>
      <w:pPr>
        <w:spacing w:after="20"/>
      </w:pPr>
    </w:p>
    <w:p>
      <w:r>
        <w:t>Wrong counts include unsupported guesses, even a lucky guess. Refusals count only explicit abstentions on answerable value requests; necessary requests for missing facts are not errors. Date conversion candidates selected during investigation are measured separately from value suggestions.</w:t>
      </w:r>
    </w:p>
    <w:p>
      <w:r>
        <w:t>The run passed 18 of 18 reviewed outcomes, including 13 exact exports after scripted oracle corrections and two approvals. Raw response coverage was 21/21 requested cells. Investigation failures: 0; value fallback cases: 0. Completion includes known reviewer facts and is not autonomous correction accuracy.</w:t>
      </w:r>
    </w:p>
    <w:p>
      <w:r>
        <w:t>Recorded usage: 105 requests and 109299 tokens. Raw responses, consented fictional payloads, tool calls and hashes are in docs/evaluations/nebius-fixed-v2.json. Corpus and protocol are in evaluations/nebius_fixed_v2/. Prior offline and Week 2 results are not pooled into these figures.</w:t>
      </w:r>
    </w:p>
    <w:p>
      <w:r>
        <w:t>A separate final-code date check at 176ee0b passed 3/3 cases using 27 requests and 27490 tokens. It checks two impossible dates and a valid day-first conversion after binding conversion evidence to the current saved value. Its artifact is nebius-date-followup-v2.json; these repeated cases are not added to the 18-case totals.</w:t>
      </w:r>
    </w:p>
    <w:p>
      <w:r>
        <w:t>Reproduce: python scripts/evaluate_nebius.py --suite fixed-v2 --live --consent-synthetic. Omit the two live flags for a local preflight. Each run has a unique output folder and a 120-request ceiling. These small synthetic samples cannot establish production accuracy or stable refusal rates; repeat with independently labeled source policies before broader claims.</w:t>
      </w:r>
    </w:p>
    <w:p>
      <w:r>
        <w:br w:type="page"/>
      </w:r>
    </w:p>
    <w:p>
      <w:pPr>
        <w:pStyle w:val="Heading1"/>
      </w:pPr>
      <w:r>
        <w:t>Setup and demonstration guide</w:t>
      </w:r>
    </w:p>
    <w:p>
      <w:r>
        <w:t>Clone the repository and use Python 3.11 or newer. On Windows, run scripts/bootstrap.ps1 and scripts/start.ps1. Open http://127.0.0.1:8501. Bootstrap creates a virtual environment and copies the safe .env.example template only when .env does not already exist.</w:t>
      </w:r>
    </w:p>
    <w:p>
      <w:r>
        <w:t>Use Offline demonstration for reproducible local checks. For a live run, configure NEBIUS_API_KEY and NEBIUS_MODEL in .env, set DQ_PROVIDER=nebius, restart the server, and choose Nebius Token Factory for new jobs. Never show the key while recording. Existing jobs retain their original provider mode.</w:t>
      </w:r>
    </w:p>
    <w:p>
      <w:pPr>
        <w:pStyle w:val="Heading1"/>
      </w:pPr>
      <w:r>
        <w:t>Loom walkthrough within five minutes</w:t>
      </w:r>
    </w:p>
    <w:tbl>
      <w:tblPr>
        <w:tblW w:type="auto" w:w="0"/>
        <w:tblLayout w:type="fixed"/>
        <w:tblLook w:firstColumn="1" w:firstRow="1" w:lastColumn="0" w:lastRow="0" w:noHBand="0" w:noVBand="1" w:val="04A0"/>
      </w:tblPr>
      <w:tblGrid>
        <w:gridCol w:w="1944"/>
        <w:gridCol w:w="7848"/>
      </w:tblGrid>
      <w:tr>
        <w:trPr>
          <w:cantSplit/>
          <w:tblHeader/>
        </w:trPr>
        <w:tc>
          <w:tcPr>
            <w:tcW w:type="dxa" w:w="1944"/>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Time</w:t>
            </w:r>
          </w:p>
        </w:tc>
        <w:tc>
          <w:tcPr>
            <w:tcW w:type="dxa" w:w="7848"/>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Show and explain</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0:00 to 0:30</w:t>
            </w:r>
          </w:p>
        </w:tc>
        <w:tc>
          <w:tcPr>
            <w:tcW w:type="dxa" w:w="78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Introduce Lumen Row, the customer-import problem, target user and Python/LangChain/LangGraph stack.</w:t>
            </w:r>
          </w:p>
        </w:tc>
      </w:tr>
      <w:tr>
        <w:trPr>
          <w:cantSplit/>
        </w:trPr>
        <w:tc>
          <w:tcPr>
            <w:tcW w:type="dxa" w:w="1944"/>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0:30 to 1:10</w:t>
            </w:r>
          </w:p>
        </w:tc>
        <w:tc>
          <w:tcPr>
            <w:tcW w:type="dxa" w:w="7848"/>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Open the workspace. Show file choices, rules and local preview, then create a negative sample job.</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1:10 to 2:20</w:t>
            </w:r>
          </w:p>
        </w:tc>
        <w:tc>
          <w:tcPr>
            <w:tcW w:type="dxa" w:w="78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Explain the three blockers. Show the payload preview and AI-assisted draft if using Nebius; distinguish unknown facts from possible corrections.</w:t>
            </w:r>
          </w:p>
        </w:tc>
      </w:tr>
      <w:tr>
        <w:trPr>
          <w:cantSplit/>
        </w:trPr>
        <w:tc>
          <w:tcPr>
            <w:tcW w:type="dxa" w:w="1944"/>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2:20 to 3:20</w:t>
            </w:r>
          </w:p>
        </w:tc>
        <w:tc>
          <w:tcPr>
            <w:tcW w:type="dxa" w:w="7848"/>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Supply known fixture answers, inspect the before/after preview, submit the plan and explicitly approve the repair.</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3:20 to 4:05</w:t>
            </w:r>
          </w:p>
        </w:tc>
        <w:tc>
          <w:tcPr>
            <w:tcW w:type="dxa" w:w="78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Show zero blockers on the staged copy, approve export and open the corrected CSV plus audit. Briefly show a pre-created positive result.</w:t>
            </w:r>
          </w:p>
        </w:tc>
      </w:tr>
      <w:tr>
        <w:trPr>
          <w:cantSplit/>
        </w:trPr>
        <w:tc>
          <w:tcPr>
            <w:tcW w:type="dxa" w:w="1944"/>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4:05 to 4:45</w:t>
            </w:r>
          </w:p>
        </w:tc>
        <w:tc>
          <w:tcPr>
            <w:tcW w:type="dxa" w:w="7848"/>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Show the architecture diagram and explain saved checkpoints, failure recovery, exact-plan approvals and how Codex helped build and iterate.</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4:45 to 5:00</w:t>
            </w:r>
          </w:p>
        </w:tc>
        <w:tc>
          <w:tcPr>
            <w:tcW w:type="dxa" w:w="78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Show the repository and report links. State the test results with their offline/scripted limitations.</w:t>
            </w:r>
          </w:p>
        </w:tc>
      </w:tr>
    </w:tbl>
    <w:p>
      <w:pPr>
        <w:spacing w:after="20"/>
      </w:pPr>
    </w:p>
    <w:p>
      <w:r>
        <w:t>Prepare sample jobs and confirm provider access before recording. If a live request takes too long or fails, explain the visible failure and use the manual recovery path; do not present an offline run as a live-model response. Keep the final recording at five minutes or less.</w:t>
      </w:r>
    </w:p>
    <w:p>
      <w:pPr>
        <w:pStyle w:val="Heading1"/>
      </w:pPr>
      <w:r>
        <w:t>Try the additional practice file</w:t>
      </w:r>
    </w:p>
    <w:p>
      <w:r>
        <w:t>Upload samples/practice/customer-review-practice.csv with customer-review-rules.json. Expect seven initial issues and three unresolved facts after four rule-backed changes. Use expected-corrections.json only after trying the exercise; the complete plan should leave six output rows and no blockers.</w:t>
      </w:r>
    </w:p>
    <w:p>
      <w:r>
        <w:br w:type="page"/>
      </w:r>
    </w:p>
    <w:p>
      <w:pPr>
        <w:pStyle w:val="Heading1"/>
      </w:pPr>
      <w:r>
        <w:t>Submission links and completion checklist</w:t>
      </w:r>
    </w:p>
    <w:p>
      <w:r>
        <w:t xml:space="preserve">GitHub codebase: </w:t>
      </w:r>
      <w:hyperlink r:id="rId9">
        <w:r>
          <w:rPr>
            <w:color w:val="334F77"/>
          </w:rPr>
          <w:t>https://github.com/krish339-ai/DataQualityAgent</w:t>
        </w:r>
      </w:hyperlink>
    </w:p>
    <w:p>
      <w:r>
        <w:t>Google Docs project report link: add the shared link after importing this document into Google Drive.</w:t>
      </w:r>
    </w:p>
    <w:p>
      <w:r>
        <w:t>Loom demonstration link: add the recording link after completing the walkthrough.</w:t>
      </w:r>
    </w:p>
    <w:p>
      <w:r>
        <w:t xml:space="preserve">Submission form: </w:t>
      </w:r>
      <w:hyperlink r:id="rId13">
        <w:r>
          <w:rPr>
            <w:color w:val="334F77"/>
          </w:rPr>
          <w:t>https://forms.gle/waBYFkkf5xxmcouV9</w:t>
        </w:r>
      </w:hyperlink>
    </w:p>
    <w:p>
      <w:r>
        <w:t>Upload this DOCX to Google Drive and open it with Google Docs. Check that tables and figures remain readable, set the document's sharing access for the intended reviewers, and copy its share link. Add the Loom link and repository URL to the submission form after verifying access.</w:t>
      </w:r>
    </w:p>
    <w:tbl>
      <w:tblPr>
        <w:tblW w:type="auto" w:w="0"/>
        <w:tblLayout w:type="fixed"/>
        <w:tblLook w:firstColumn="1" w:firstRow="1" w:lastColumn="0" w:lastRow="0" w:noHBand="0" w:noVBand="1" w:val="04A0"/>
      </w:tblPr>
      <w:tblGrid>
        <w:gridCol w:w="4392"/>
        <w:gridCol w:w="5400"/>
      </w:tblGrid>
      <w:tr>
        <w:trPr>
          <w:cantSplit/>
          <w:tblHeader/>
        </w:trPr>
        <w:tc>
          <w:tcPr>
            <w:tcW w:type="dxa" w:w="4392"/>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Requested content</w:t>
            </w:r>
          </w:p>
        </w:tc>
        <w:tc>
          <w:tcPr>
            <w:tcW w:type="dxa" w:w="5400"/>
            <w:vAlign w:val="center"/>
            <w:shd w:fill="263A5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color w:val="FFFFFF"/>
                <w:sz w:val="20"/>
              </w:rPr>
              <w:t>Where to find it</w:t>
            </w:r>
          </w:p>
        </w:tc>
      </w:tr>
      <w:tr>
        <w:trPr>
          <w:cantSplit/>
        </w:trPr>
        <w:tc>
          <w:tcPr>
            <w:tcW w:type="dxa" w:w="43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Project overview and end-to-end task</w:t>
            </w:r>
          </w:p>
        </w:tc>
        <w:tc>
          <w:tcPr>
            <w:tcW w:type="dxa" w:w="54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The Primer, Project overview and Scope.</w:t>
            </w:r>
          </w:p>
        </w:tc>
      </w:tr>
      <w:tr>
        <w:trPr>
          <w:cantSplit/>
        </w:trPr>
        <w:tc>
          <w:tcPr>
            <w:tcW w:type="dxa" w:w="4392"/>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Agent framework and architecture</w:t>
            </w:r>
          </w:p>
        </w:tc>
        <w:tc>
          <w:tcPr>
            <w:tcW w:type="dxa" w:w="5400"/>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The Framework, architecture diagram and approval/memory explanation.</w:t>
            </w:r>
          </w:p>
        </w:tc>
      </w:tr>
      <w:tr>
        <w:trPr>
          <w:cantSplit/>
        </w:trPr>
        <w:tc>
          <w:tcPr>
            <w:tcW w:type="dxa" w:w="43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Datasets used and examples</w:t>
            </w:r>
          </w:p>
        </w:tc>
        <w:tc>
          <w:tcPr>
            <w:tcW w:type="dxa" w:w="54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Datasets and validation rules; worked negative scenario; practice fixtures.</w:t>
            </w:r>
          </w:p>
        </w:tc>
      </w:tr>
      <w:tr>
        <w:trPr>
          <w:cantSplit/>
        </w:trPr>
        <w:tc>
          <w:tcPr>
            <w:tcW w:type="dxa" w:w="4392"/>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Prompts used during AI-assisted coding</w:t>
            </w:r>
          </w:p>
        </w:tc>
        <w:tc>
          <w:tcPr>
            <w:tcW w:type="dxa" w:w="5400"/>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Coding prompts and development iterations; artwork prompt files.</w:t>
            </w:r>
          </w:p>
        </w:tc>
      </w:tr>
      <w:tr>
        <w:trPr>
          <w:cantSplit/>
        </w:trPr>
        <w:tc>
          <w:tcPr>
            <w:tcW w:type="dxa" w:w="43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Iterations and learnings</w:t>
            </w:r>
          </w:p>
        </w:tc>
        <w:tc>
          <w:tcPr>
            <w:tcW w:type="dxa" w:w="54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Development iterations, verification and observations.</w:t>
            </w:r>
          </w:p>
        </w:tc>
      </w:tr>
      <w:tr>
        <w:trPr>
          <w:cantSplit/>
        </w:trPr>
        <w:tc>
          <w:tcPr>
            <w:tcW w:type="dxa" w:w="4392"/>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Codebase and demo</w:t>
            </w:r>
          </w:p>
        </w:tc>
        <w:tc>
          <w:tcPr>
            <w:tcW w:type="dxa" w:w="5400"/>
            <w:vAlign w:val="center"/>
            <w:shd w:fill="F2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5" w:lineRule="auto"/>
            </w:pPr>
            <w:r>
              <w:rPr>
                <w:b w:val="0"/>
                <w:color w:val="000000"/>
                <w:sz w:val="20"/>
              </w:rPr>
              <w:t>Public GitHub link above; five-minute Loom outline; add the final recording link.</w:t>
            </w:r>
          </w:p>
        </w:tc>
      </w:tr>
    </w:tbl>
    <w:p>
      <w:pPr>
        <w:spacing w:after="20"/>
      </w:pPr>
    </w:p>
    <w:p>
      <w:pPr>
        <w:pStyle w:val="Heading1"/>
      </w:pPr>
      <w:r>
        <w:t>About the author</w:t>
      </w:r>
    </w:p>
    <w:p>
      <w:r>
        <w:t>I'm Krishna Kallamadi, a data enthusiast with 16+ years of experience with various on-prem and cloud databases across healthcare and insurance. I began my career in 2009 and have spent more than a decade supporting mission-critical healthcare databases. My work spans database administration, performance tuning, data analytics, data migration, data engineering, data architecture, cloud engineering, and AI engineering, with a focus on automation and data security.</w:t>
      </w:r>
    </w:p>
    <w:p>
      <w:r>
        <w:t>I've expanded into AI, earning the AWS Certified AI Practitioner certification and building AI-powered database intelligence tools. I'm working toward a future as an AI Data Architect, bringing together database expertise, data engineering, and a security-first approach to intelligent, autonomous platforms.</w:t>
      </w:r>
    </w:p>
    <w:p>
      <w:r>
        <w:t xml:space="preserve">Connect on LinkedIn: </w:t>
      </w:r>
      <w:hyperlink r:id="rId10">
        <w:r>
          <w:rPr>
            <w:color w:val="334F77"/>
          </w:rPr>
          <w:t>https://www.linkedin.com/in/krishna-kishore-kallamadi-a22b498/</w:t>
        </w:r>
      </w:hyperlink>
    </w:p>
    <w:sectPr w:rsidR="00FC693F" w:rsidRPr="0006063C" w:rsidSect="00034616">
      <w:footerReference w:type="default" r:id="rId14"/>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Lumen Row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krish339-ai/DataQualityAgent" TargetMode="External"/><Relationship Id="rId10" Type="http://schemas.openxmlformats.org/officeDocument/2006/relationships/hyperlink" Target="https://www.linkedin.com/in/krishna-kishore-kallamadi-a22b498/"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forms.gle/waBYFkkf5xxmcouV9"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Lumen Row Project Documentation</dc:title>
  <dc:subject>Architecture, workflow, datasets, verification and submission guide</dc:subject>
  <dc:creator>Krishna Kallamadi</dc:creator>
  <cp:keywords/>
  <dc:description>generated by python-docx</dc:description>
  <cp:lastModifiedBy/>
  <cp:revision>1</cp:revision>
  <dcterms:created xsi:type="dcterms:W3CDTF">2013-12-23T23:15:00Z</dcterms:created>
  <dcterms:modified xsi:type="dcterms:W3CDTF">2013-12-23T23:15:00Z</dcterms:modified>
  <cp:category/>
</cp:coreProperties>
</file>